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8CB1" w14:textId="77777777" w:rsidR="005559BB" w:rsidRDefault="005559BB"/>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0E86320B" w:rsidR="00063887" w:rsidRDefault="00A51F91" w:rsidP="00063887">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「こども大綱」の策定に向けた答申、「幼児期までのこどもの育ちに係る基本的なヴィジョン」（答申）</w:t>
      </w:r>
      <w:r w:rsidR="00AA526B">
        <w:rPr>
          <w:rFonts w:ascii="BIZ UDPゴシック" w:eastAsia="BIZ UDPゴシック" w:hAnsi="BIZ UDPゴシック" w:hint="eastAsia"/>
          <w:w w:val="99"/>
          <w:sz w:val="26"/>
          <w:szCs w:val="26"/>
        </w:rPr>
        <w:t>等が</w:t>
      </w:r>
      <w:r>
        <w:rPr>
          <w:rFonts w:ascii="BIZ UDPゴシック" w:eastAsia="BIZ UDPゴシック" w:hAnsi="BIZ UDPゴシック" w:hint="eastAsia"/>
          <w:w w:val="99"/>
          <w:sz w:val="26"/>
          <w:szCs w:val="26"/>
        </w:rPr>
        <w:t>加藤こども政策担当大臣に提出</w:t>
      </w:r>
      <w:r w:rsidR="00AA526B">
        <w:rPr>
          <w:rFonts w:ascii="BIZ UDPゴシック" w:eastAsia="BIZ UDPゴシック" w:hAnsi="BIZ UDPゴシック" w:hint="eastAsia"/>
          <w:w w:val="99"/>
          <w:sz w:val="26"/>
          <w:szCs w:val="26"/>
        </w:rPr>
        <w:t>される</w:t>
      </w:r>
      <w:r w:rsidR="00063887" w:rsidRPr="001C18F5">
        <w:rPr>
          <w:rFonts w:ascii="BIZ UDPゴシック" w:eastAsia="BIZ UDPゴシック" w:hAnsi="BIZ UDPゴシック"/>
          <w:w w:val="99"/>
          <w:sz w:val="26"/>
          <w:szCs w:val="26"/>
        </w:rPr>
        <w:tab/>
      </w:r>
      <w:r w:rsidR="00DC3146">
        <w:rPr>
          <w:rFonts w:ascii="BIZ UDPゴシック" w:eastAsia="BIZ UDPゴシック" w:hAnsi="BIZ UDPゴシック" w:hint="eastAsia"/>
          <w:w w:val="99"/>
          <w:sz w:val="26"/>
          <w:szCs w:val="26"/>
        </w:rPr>
        <w:t>1</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5CE7E0D2" w14:textId="3D38C0E1" w:rsidR="00545214" w:rsidRDefault="00A51F91" w:rsidP="0069762B">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sidRPr="00A51F91">
        <w:rPr>
          <w:rFonts w:ascii="BIZ UDPゴシック" w:eastAsia="BIZ UDPゴシック" w:hAnsi="BIZ UDPゴシック" w:cs="Courier New" w:hint="eastAsia"/>
          <w:b/>
          <w:sz w:val="40"/>
          <w:szCs w:val="40"/>
        </w:rPr>
        <w:t>「こども大綱」の策定に向けた答申、「幼児期までのこどもの育ちに係る基本的なヴィジョン」（答申）</w:t>
      </w:r>
      <w:r w:rsidR="00AA526B">
        <w:rPr>
          <w:rFonts w:ascii="BIZ UDPゴシック" w:eastAsia="BIZ UDPゴシック" w:hAnsi="BIZ UDPゴシック" w:cs="Courier New" w:hint="eastAsia"/>
          <w:b/>
          <w:sz w:val="40"/>
          <w:szCs w:val="40"/>
        </w:rPr>
        <w:t>等</w:t>
      </w:r>
      <w:r w:rsidRPr="00A51F91">
        <w:rPr>
          <w:rFonts w:ascii="BIZ UDPゴシック" w:eastAsia="BIZ UDPゴシック" w:hAnsi="BIZ UDPゴシック" w:cs="Courier New" w:hint="eastAsia"/>
          <w:b/>
          <w:sz w:val="40"/>
          <w:szCs w:val="40"/>
        </w:rPr>
        <w:t>が加藤こども政策担当大臣に提出</w:t>
      </w:r>
      <w:r w:rsidR="00AA526B">
        <w:rPr>
          <w:rFonts w:ascii="BIZ UDPゴシック" w:eastAsia="BIZ UDPゴシック" w:hAnsi="BIZ UDPゴシック" w:cs="Courier New" w:hint="eastAsia"/>
          <w:b/>
          <w:sz w:val="40"/>
          <w:szCs w:val="40"/>
        </w:rPr>
        <w:t>される</w:t>
      </w:r>
    </w:p>
    <w:p w14:paraId="553AECB3" w14:textId="77777777" w:rsidR="00DC3146" w:rsidRDefault="00DC3146" w:rsidP="00DC3146">
      <w:pPr>
        <w:ind w:firstLineChars="100" w:firstLine="240"/>
        <w:rPr>
          <w:rFonts w:cs="ＭＳ 明朝"/>
          <w:bCs/>
          <w:sz w:val="24"/>
        </w:rPr>
      </w:pPr>
    </w:p>
    <w:p w14:paraId="2F3853A6" w14:textId="66FA1713" w:rsidR="00A70923" w:rsidRPr="00CC4C07" w:rsidRDefault="00C617C9" w:rsidP="00CC4C07">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sidR="00A51F91">
        <w:rPr>
          <w:rFonts w:cs="ＭＳ 明朝" w:hint="eastAsia"/>
          <w:bCs/>
          <w:sz w:val="24"/>
        </w:rPr>
        <w:t>12</w:t>
      </w:r>
      <w:r>
        <w:rPr>
          <w:rFonts w:cs="ＭＳ 明朝" w:hint="eastAsia"/>
          <w:bCs/>
          <w:sz w:val="24"/>
        </w:rPr>
        <w:t>月</w:t>
      </w:r>
      <w:r w:rsidR="00A51F91">
        <w:rPr>
          <w:rFonts w:cs="ＭＳ 明朝" w:hint="eastAsia"/>
          <w:bCs/>
          <w:sz w:val="24"/>
        </w:rPr>
        <w:t>1</w:t>
      </w:r>
      <w:r>
        <w:rPr>
          <w:rFonts w:cs="ＭＳ 明朝" w:hint="eastAsia"/>
          <w:bCs/>
          <w:sz w:val="24"/>
        </w:rPr>
        <w:t>日、</w:t>
      </w:r>
      <w:r w:rsidR="00A70923">
        <w:rPr>
          <w:rFonts w:cs="ＭＳ 明朝" w:hint="eastAsia"/>
          <w:bCs/>
          <w:sz w:val="24"/>
        </w:rPr>
        <w:t>「こども大綱」の策定に向けた答申、「幼児期までのこどもの育ちに係る基本的なヴィジョン」（答申）、「こどもの居場所に関する指針」（答申）が、秋田喜代美こども家庭審議会長から、加藤鮎子こども政策担当大臣に提出されました。</w:t>
      </w:r>
    </w:p>
    <w:p w14:paraId="3481CF23" w14:textId="2C8A2ACB" w:rsidR="00A70923" w:rsidRDefault="00A70923" w:rsidP="00545214">
      <w:pPr>
        <w:spacing w:beforeLines="25" w:before="90" w:afterLines="25" w:after="90" w:line="300" w:lineRule="auto"/>
        <w:ind w:firstLineChars="100" w:firstLine="240"/>
        <w:rPr>
          <w:rFonts w:cs="ＭＳ 明朝"/>
          <w:bCs/>
          <w:sz w:val="24"/>
        </w:rPr>
      </w:pPr>
      <w:r>
        <w:rPr>
          <w:rFonts w:cs="ＭＳ 明朝" w:hint="eastAsia"/>
          <w:bCs/>
          <w:sz w:val="24"/>
        </w:rPr>
        <w:t>今後、この答申をもとに政府内で調整が行われ、年内を目途に閣議決定される予定です。</w:t>
      </w:r>
    </w:p>
    <w:p w14:paraId="58EC4157" w14:textId="6048D3A6" w:rsidR="00BA1A0F" w:rsidRDefault="00BA1A0F" w:rsidP="00CC4C07">
      <w:pPr>
        <w:spacing w:beforeLines="25" w:before="90" w:afterLines="25" w:after="90" w:line="300" w:lineRule="auto"/>
        <w:ind w:firstLineChars="100" w:firstLine="240"/>
        <w:rPr>
          <w:rFonts w:cs="ＭＳ 明朝"/>
          <w:bCs/>
          <w:sz w:val="24"/>
        </w:rPr>
      </w:pPr>
      <w:r>
        <w:rPr>
          <w:rFonts w:cs="ＭＳ 明朝" w:hint="eastAsia"/>
          <w:bCs/>
          <w:sz w:val="24"/>
        </w:rPr>
        <w:t>「こども大綱」の策定に向けた答申では、「こども大綱」が目指す「こどもまんなか社会」を定義づけたうえで、こども施策に関する基本的な方針（</w:t>
      </w:r>
      <w:r>
        <w:rPr>
          <w:rFonts w:cs="ＭＳ 明朝" w:hint="eastAsia"/>
          <w:bCs/>
          <w:sz w:val="24"/>
        </w:rPr>
        <w:t>6</w:t>
      </w:r>
      <w:r>
        <w:rPr>
          <w:rFonts w:cs="ＭＳ 明朝" w:hint="eastAsia"/>
          <w:bCs/>
          <w:sz w:val="24"/>
        </w:rPr>
        <w:t>本の柱）を定め、</w:t>
      </w:r>
      <w:r w:rsidR="000D389D">
        <w:rPr>
          <w:rFonts w:cs="ＭＳ 明朝" w:hint="eastAsia"/>
          <w:bCs/>
          <w:sz w:val="24"/>
        </w:rPr>
        <w:t>ライフステージ</w:t>
      </w:r>
      <w:r>
        <w:rPr>
          <w:rFonts w:cs="ＭＳ 明朝" w:hint="eastAsia"/>
          <w:bCs/>
          <w:sz w:val="24"/>
        </w:rPr>
        <w:t>別に、こども施策に関する重要事項が</w:t>
      </w:r>
      <w:r w:rsidR="006F47D1">
        <w:rPr>
          <w:rFonts w:cs="ＭＳ 明朝" w:hint="eastAsia"/>
          <w:bCs/>
          <w:sz w:val="24"/>
        </w:rPr>
        <w:t>提示</w:t>
      </w:r>
      <w:r>
        <w:rPr>
          <w:rFonts w:cs="ＭＳ 明朝" w:hint="eastAsia"/>
          <w:bCs/>
          <w:sz w:val="24"/>
        </w:rPr>
        <w:t>されています。</w:t>
      </w:r>
      <w:r w:rsidR="00CC4C07">
        <w:rPr>
          <w:rFonts w:cs="ＭＳ 明朝" w:hint="eastAsia"/>
          <w:bCs/>
          <w:sz w:val="24"/>
        </w:rPr>
        <w:t>「</w:t>
      </w:r>
      <w:r w:rsidR="00CC4C07" w:rsidRPr="00ED0745">
        <w:rPr>
          <w:rFonts w:cs="ＭＳ 明朝" w:hint="eastAsia"/>
          <w:bCs/>
          <w:sz w:val="24"/>
        </w:rPr>
        <w:t>こども大綱</w:t>
      </w:r>
      <w:r w:rsidR="00CC4C07">
        <w:rPr>
          <w:rFonts w:cs="ＭＳ 明朝" w:hint="eastAsia"/>
          <w:bCs/>
          <w:sz w:val="24"/>
        </w:rPr>
        <w:t>」について</w:t>
      </w:r>
      <w:r w:rsidR="00BA1217">
        <w:rPr>
          <w:rFonts w:cs="ＭＳ 明朝" w:hint="eastAsia"/>
          <w:bCs/>
          <w:sz w:val="24"/>
        </w:rPr>
        <w:t>は</w:t>
      </w:r>
      <w:r w:rsidR="00CC4C07" w:rsidRPr="00ED0745">
        <w:rPr>
          <w:rFonts w:cs="ＭＳ 明朝" w:hint="eastAsia"/>
          <w:bCs/>
          <w:sz w:val="24"/>
        </w:rPr>
        <w:t>、</w:t>
      </w:r>
      <w:r w:rsidR="00CC4C07">
        <w:rPr>
          <w:rFonts w:cs="ＭＳ 明朝" w:hint="eastAsia"/>
          <w:bCs/>
          <w:sz w:val="24"/>
        </w:rPr>
        <w:t>こども基本法第</w:t>
      </w:r>
      <w:r w:rsidR="00CC4C07">
        <w:rPr>
          <w:rFonts w:cs="ＭＳ 明朝" w:hint="eastAsia"/>
          <w:bCs/>
          <w:sz w:val="24"/>
        </w:rPr>
        <w:t>16</w:t>
      </w:r>
      <w:r w:rsidR="00CC4C07">
        <w:rPr>
          <w:rFonts w:cs="ＭＳ 明朝" w:hint="eastAsia"/>
          <w:bCs/>
          <w:sz w:val="24"/>
        </w:rPr>
        <w:t>条において「</w:t>
      </w:r>
      <w:r w:rsidR="00CC4C07" w:rsidRPr="00CC4C07">
        <w:rPr>
          <w:rFonts w:cs="ＭＳ 明朝" w:hint="eastAsia"/>
          <w:bCs/>
          <w:sz w:val="24"/>
        </w:rPr>
        <w:t>政府は、こども大綱の定めるところにより、こども施策の幅広い展開その他のこども施策の一層の充実を図るとともに、その実施に必要な財政上の措置その他の措置を講ずるよう努めなければならない</w:t>
      </w:r>
      <w:r w:rsidR="00CC4C07">
        <w:rPr>
          <w:rFonts w:cs="ＭＳ 明朝" w:hint="eastAsia"/>
          <w:bCs/>
          <w:sz w:val="24"/>
        </w:rPr>
        <w:t>」とされており、</w:t>
      </w:r>
      <w:r w:rsidR="00BA1217">
        <w:rPr>
          <w:rFonts w:cs="ＭＳ 明朝" w:hint="eastAsia"/>
          <w:bCs/>
          <w:sz w:val="24"/>
        </w:rPr>
        <w:t>こども大綱に基づき</w:t>
      </w:r>
      <w:r w:rsidR="00BA1217" w:rsidRPr="00ED0745">
        <w:rPr>
          <w:rFonts w:cs="ＭＳ 明朝" w:hint="eastAsia"/>
          <w:bCs/>
          <w:sz w:val="24"/>
        </w:rPr>
        <w:t>政府全体でこども施策を強力に推進する</w:t>
      </w:r>
      <w:r w:rsidR="00BA1217">
        <w:rPr>
          <w:rFonts w:cs="ＭＳ 明朝" w:hint="eastAsia"/>
          <w:bCs/>
          <w:sz w:val="24"/>
        </w:rPr>
        <w:t>こととなります。</w:t>
      </w:r>
    </w:p>
    <w:p w14:paraId="43C7DA94" w14:textId="2AF87E10" w:rsidR="00C617C9" w:rsidRDefault="006F47D1" w:rsidP="00545214">
      <w:pPr>
        <w:spacing w:beforeLines="25" w:before="90" w:afterLines="25" w:after="90" w:line="300" w:lineRule="auto"/>
        <w:ind w:firstLineChars="100" w:firstLine="240"/>
        <w:rPr>
          <w:rFonts w:cs="ＭＳ 明朝"/>
          <w:bCs/>
          <w:sz w:val="24"/>
        </w:rPr>
      </w:pPr>
      <w:r>
        <w:rPr>
          <w:rFonts w:cs="ＭＳ 明朝" w:hint="eastAsia"/>
          <w:bCs/>
          <w:sz w:val="24"/>
        </w:rPr>
        <w:t>最初のライフステージである</w:t>
      </w:r>
      <w:r w:rsidR="00BA1A0F">
        <w:rPr>
          <w:rFonts w:cs="ＭＳ 明朝" w:hint="eastAsia"/>
          <w:bCs/>
          <w:sz w:val="24"/>
        </w:rPr>
        <w:t>「こどもの誕生前から幼児期まで」では</w:t>
      </w:r>
      <w:r w:rsidR="000D389D">
        <w:rPr>
          <w:rFonts w:cs="ＭＳ 明朝" w:hint="eastAsia"/>
          <w:bCs/>
          <w:sz w:val="24"/>
        </w:rPr>
        <w:t>、「家庭、</w:t>
      </w:r>
      <w:r w:rsidR="000D389D" w:rsidRPr="000D389D">
        <w:rPr>
          <w:rFonts w:cs="ＭＳ 明朝"/>
          <w:bCs/>
          <w:sz w:val="24"/>
        </w:rPr>
        <w:t>家庭、幼稚園、保育所、認定こども園、こどもの育ちに関する関係機関、地域を含めたこどもの育ちを支える場を始めとして、社会全体のすべての人と共有したい理念や基本的な考え方を示す羅針盤である</w:t>
      </w:r>
      <w:r w:rsidR="00BA43E3">
        <w:rPr>
          <w:rFonts w:cs="ＭＳ 明朝" w:hint="eastAsia"/>
          <w:bCs/>
          <w:sz w:val="24"/>
        </w:rPr>
        <w:t>『</w:t>
      </w:r>
      <w:r w:rsidR="000D389D" w:rsidRPr="000D389D">
        <w:rPr>
          <w:rFonts w:cs="ＭＳ 明朝"/>
          <w:bCs/>
          <w:sz w:val="24"/>
        </w:rPr>
        <w:t>幼児期までのこどもの育ちに係る基本的なヴィジョン</w:t>
      </w:r>
      <w:r w:rsidR="00BA43E3">
        <w:rPr>
          <w:rFonts w:cs="ＭＳ 明朝" w:hint="eastAsia"/>
          <w:bCs/>
          <w:sz w:val="24"/>
        </w:rPr>
        <w:t>』</w:t>
      </w:r>
      <w:r w:rsidR="000D389D" w:rsidRPr="000D389D">
        <w:rPr>
          <w:rFonts w:cs="ＭＳ 明朝"/>
          <w:bCs/>
          <w:sz w:val="24"/>
        </w:rPr>
        <w:t>を策定し、これに基づき、社会の認識の共有を図りつつ、政府全体の取組を強力に推進する</w:t>
      </w:r>
      <w:r w:rsidR="00C72915">
        <w:rPr>
          <w:rFonts w:cs="ＭＳ 明朝" w:hint="eastAsia"/>
          <w:bCs/>
          <w:sz w:val="24"/>
        </w:rPr>
        <w:t>」とし、下記</w:t>
      </w:r>
      <w:r w:rsidR="00BA43E3">
        <w:rPr>
          <w:rFonts w:cs="ＭＳ 明朝" w:hint="eastAsia"/>
          <w:bCs/>
          <w:sz w:val="24"/>
        </w:rPr>
        <w:t>に取り組むことを求めています</w:t>
      </w:r>
      <w:r w:rsidR="00C72915">
        <w:rPr>
          <w:rFonts w:cs="ＭＳ 明朝" w:hint="eastAsia"/>
          <w:bCs/>
          <w:sz w:val="24"/>
        </w:rPr>
        <w:t>。</w:t>
      </w:r>
    </w:p>
    <w:tbl>
      <w:tblPr>
        <w:tblStyle w:val="a4"/>
        <w:tblW w:w="0" w:type="auto"/>
        <w:tblLook w:val="04A0" w:firstRow="1" w:lastRow="0" w:firstColumn="1" w:lastColumn="0" w:noHBand="0" w:noVBand="1"/>
      </w:tblPr>
      <w:tblGrid>
        <w:gridCol w:w="9628"/>
      </w:tblGrid>
      <w:tr w:rsidR="00C72915" w14:paraId="589441B1" w14:textId="77777777" w:rsidTr="00C72915">
        <w:tc>
          <w:tcPr>
            <w:tcW w:w="9628" w:type="dxa"/>
          </w:tcPr>
          <w:p w14:paraId="3A794A07" w14:textId="0057AAEE" w:rsidR="00BA1A0F" w:rsidRDefault="00BA1A0F" w:rsidP="00B37DFF">
            <w:pPr>
              <w:pStyle w:val="a9"/>
              <w:spacing w:afterLines="25" w:after="90" w:line="276" w:lineRule="auto"/>
              <w:ind w:leftChars="0" w:left="420" w:rightChars="-57" w:right="-120"/>
              <w:jc w:val="right"/>
              <w:rPr>
                <w:rFonts w:cs="ＭＳ 明朝"/>
                <w:bCs/>
                <w:sz w:val="24"/>
              </w:rPr>
            </w:pPr>
            <w:r w:rsidRPr="00B37DFF">
              <w:rPr>
                <w:rFonts w:cs="ＭＳ 明朝" w:hint="eastAsia"/>
                <w:bCs/>
              </w:rPr>
              <w:t>（</w:t>
            </w:r>
            <w:r w:rsidR="00B37DFF" w:rsidRPr="00B37DFF">
              <w:rPr>
                <w:rFonts w:cs="ＭＳ 明朝" w:hint="eastAsia"/>
                <w:bCs/>
              </w:rPr>
              <w:t>下線は</w:t>
            </w:r>
            <w:r w:rsidRPr="00B37DFF">
              <w:rPr>
                <w:rFonts w:cs="ＭＳ 明朝" w:hint="eastAsia"/>
                <w:bCs/>
              </w:rPr>
              <w:t>全保協事務局</w:t>
            </w:r>
            <w:r w:rsidR="00B37DFF" w:rsidRPr="00B37DFF">
              <w:rPr>
                <w:rFonts w:cs="ＭＳ 明朝" w:hint="eastAsia"/>
                <w:bCs/>
              </w:rPr>
              <w:t>加筆</w:t>
            </w:r>
            <w:r w:rsidRPr="00B37DFF">
              <w:rPr>
                <w:rFonts w:cs="ＭＳ 明朝" w:hint="eastAsia"/>
                <w:bCs/>
              </w:rPr>
              <w:t>）</w:t>
            </w:r>
          </w:p>
          <w:p w14:paraId="14C4DEF3" w14:textId="25656FE7" w:rsidR="00C72915" w:rsidRDefault="00C72915" w:rsidP="00B37DFF">
            <w:pPr>
              <w:pStyle w:val="a9"/>
              <w:numPr>
                <w:ilvl w:val="0"/>
                <w:numId w:val="12"/>
              </w:numPr>
              <w:spacing w:beforeLines="35" w:before="126" w:afterLines="25" w:after="90" w:line="276" w:lineRule="auto"/>
              <w:ind w:leftChars="0"/>
              <w:rPr>
                <w:rFonts w:cs="ＭＳ 明朝"/>
                <w:bCs/>
                <w:sz w:val="24"/>
              </w:rPr>
            </w:pPr>
            <w:r w:rsidRPr="00C72915">
              <w:rPr>
                <w:rFonts w:cs="ＭＳ 明朝"/>
                <w:bCs/>
                <w:sz w:val="24"/>
              </w:rPr>
              <w:t>親の就業の状況にかかわらず、</w:t>
            </w:r>
            <w:r w:rsidRPr="00BA43E3">
              <w:rPr>
                <w:rFonts w:eastAsiaTheme="majorEastAsia" w:cs="ＭＳ 明朝"/>
                <w:bCs/>
                <w:sz w:val="24"/>
                <w:u w:val="single"/>
              </w:rPr>
              <w:t>特に</w:t>
            </w:r>
            <w:r w:rsidRPr="00BA43E3">
              <w:rPr>
                <w:rFonts w:eastAsiaTheme="majorEastAsia" w:cs="ＭＳ 明朝"/>
                <w:bCs/>
                <w:sz w:val="24"/>
                <w:u w:val="single"/>
              </w:rPr>
              <w:t>3</w:t>
            </w:r>
            <w:r w:rsidRPr="00BA43E3">
              <w:rPr>
                <w:rFonts w:eastAsiaTheme="majorEastAsia" w:cs="ＭＳ 明朝"/>
                <w:bCs/>
                <w:sz w:val="24"/>
                <w:u w:val="single"/>
              </w:rPr>
              <w:t>歳未満児の子育て当事者が地域の中で孤立しないよう、認定こども園、保育所、幼稚園、地域子育て支援拠点など地域の身近な場を通じた支援を充実する</w:t>
            </w:r>
            <w:r w:rsidRPr="00C72915">
              <w:rPr>
                <w:rFonts w:cs="ＭＳ 明朝"/>
                <w:bCs/>
                <w:sz w:val="24"/>
              </w:rPr>
              <w:t>。</w:t>
            </w:r>
          </w:p>
          <w:p w14:paraId="292EBB2E" w14:textId="3B171B77" w:rsidR="00C72915" w:rsidRDefault="00C72915" w:rsidP="00B37DFF">
            <w:pPr>
              <w:pStyle w:val="a9"/>
              <w:numPr>
                <w:ilvl w:val="0"/>
                <w:numId w:val="12"/>
              </w:numPr>
              <w:spacing w:beforeLines="35" w:before="126" w:afterLines="25" w:after="90" w:line="276" w:lineRule="auto"/>
              <w:ind w:leftChars="0"/>
              <w:rPr>
                <w:rFonts w:cs="ＭＳ 明朝"/>
                <w:bCs/>
                <w:sz w:val="24"/>
              </w:rPr>
            </w:pPr>
            <w:r w:rsidRPr="00C72915">
              <w:rPr>
                <w:rFonts w:cs="ＭＳ 明朝"/>
                <w:bCs/>
                <w:sz w:val="24"/>
              </w:rPr>
              <w:lastRenderedPageBreak/>
              <w:t>幼児期の教育・保育は、生涯にわたる人格形成の基礎を培う重要なものであることから、幼稚園、保育所、認定こども園の施設類型を問わず、</w:t>
            </w:r>
            <w:r w:rsidRPr="00BA43E3">
              <w:rPr>
                <w:rFonts w:asciiTheme="majorEastAsia" w:eastAsiaTheme="majorEastAsia" w:hAnsiTheme="majorEastAsia" w:cs="ＭＳ 明朝"/>
                <w:bCs/>
                <w:sz w:val="24"/>
                <w:u w:val="single"/>
              </w:rPr>
              <w:t>安全・安心な環境の中で、幼児教育・保育の質の向上を図ることを通じて、障害のあるこどもや医療的ケア児、外国籍のこどもをはじめ様々な文化を背景にもつこどもなど特別な配慮を必要とするこどもを含め、一人一人のこどもの健やかな成長を支えていく</w:t>
            </w:r>
            <w:r w:rsidRPr="00C72915">
              <w:rPr>
                <w:rFonts w:cs="ＭＳ 明朝"/>
                <w:bCs/>
                <w:sz w:val="24"/>
              </w:rPr>
              <w:t>。</w:t>
            </w:r>
          </w:p>
          <w:p w14:paraId="3EAEE1AE" w14:textId="2CDA343D" w:rsidR="00C72915" w:rsidRDefault="00C72915" w:rsidP="00B37DFF">
            <w:pPr>
              <w:pStyle w:val="a9"/>
              <w:numPr>
                <w:ilvl w:val="0"/>
                <w:numId w:val="12"/>
              </w:numPr>
              <w:spacing w:beforeLines="35" w:before="126" w:afterLines="25" w:after="90" w:line="276" w:lineRule="auto"/>
              <w:ind w:leftChars="0"/>
              <w:rPr>
                <w:rFonts w:cs="ＭＳ 明朝"/>
                <w:bCs/>
                <w:sz w:val="24"/>
              </w:rPr>
            </w:pPr>
            <w:r w:rsidRPr="00C72915">
              <w:rPr>
                <w:rFonts w:cs="ＭＳ 明朝"/>
                <w:bCs/>
                <w:sz w:val="24"/>
              </w:rPr>
              <w:t>地域や家庭の環境にかかわらず、全てのこどもが、格差なく質の高い学びへ接続できるよう、</w:t>
            </w:r>
            <w:r w:rsidRPr="00BA43E3">
              <w:rPr>
                <w:rFonts w:asciiTheme="majorEastAsia" w:eastAsiaTheme="majorEastAsia" w:hAnsiTheme="majorEastAsia" w:cs="ＭＳ 明朝"/>
                <w:bCs/>
                <w:sz w:val="24"/>
                <w:u w:val="single"/>
              </w:rPr>
              <w:t>学びの連続性を踏まえ、幼保小の関係者が連携し、こどもの発達にとって重要な遊びを通した質の高い幼児教育・保育を保障しながら、幼児教育・保育と小学校教育の円滑な接続の改善を図る</w:t>
            </w:r>
            <w:r w:rsidRPr="00C72915">
              <w:rPr>
                <w:rFonts w:cs="ＭＳ 明朝"/>
                <w:bCs/>
                <w:sz w:val="24"/>
              </w:rPr>
              <w:t>。</w:t>
            </w:r>
          </w:p>
          <w:p w14:paraId="332975AD" w14:textId="156D959B" w:rsidR="00C72915" w:rsidRPr="00C72915" w:rsidRDefault="00C72915" w:rsidP="00B37DFF">
            <w:pPr>
              <w:pStyle w:val="a9"/>
              <w:numPr>
                <w:ilvl w:val="0"/>
                <w:numId w:val="12"/>
              </w:numPr>
              <w:spacing w:beforeLines="35" w:before="126" w:afterLines="25" w:after="90" w:line="276" w:lineRule="auto"/>
              <w:ind w:leftChars="0"/>
              <w:rPr>
                <w:rFonts w:cs="ＭＳ 明朝"/>
                <w:bCs/>
                <w:sz w:val="24"/>
              </w:rPr>
            </w:pPr>
            <w:r w:rsidRPr="00C72915">
              <w:rPr>
                <w:rFonts w:cs="ＭＳ 明朝"/>
                <w:bCs/>
                <w:sz w:val="24"/>
              </w:rPr>
              <w:t>こどもの育ちそのものと密接不可分な保護者・養育者支援が重要であり、</w:t>
            </w:r>
            <w:r w:rsidRPr="00BA43E3">
              <w:rPr>
                <w:rFonts w:asciiTheme="majorEastAsia" w:eastAsiaTheme="majorEastAsia" w:hAnsiTheme="majorEastAsia" w:cs="ＭＳ 明朝"/>
                <w:bCs/>
                <w:sz w:val="24"/>
                <w:u w:val="single"/>
              </w:rPr>
              <w:t>保育士、保育教諭、幼稚園教諭等の人材育成・確保・処遇改善や現場の負担軽減、職員配置基準の改善を進める</w:t>
            </w:r>
            <w:r w:rsidRPr="00C72915">
              <w:rPr>
                <w:rFonts w:cs="ＭＳ 明朝"/>
                <w:bCs/>
                <w:sz w:val="24"/>
              </w:rPr>
              <w:t>。</w:t>
            </w:r>
          </w:p>
        </w:tc>
      </w:tr>
    </w:tbl>
    <w:p w14:paraId="2ED36683" w14:textId="77777777" w:rsidR="00C72915" w:rsidRDefault="00C72915" w:rsidP="00AA526B">
      <w:pPr>
        <w:ind w:firstLineChars="100" w:firstLine="240"/>
        <w:rPr>
          <w:rFonts w:cs="ＭＳ 明朝"/>
          <w:bCs/>
          <w:sz w:val="24"/>
        </w:rPr>
      </w:pPr>
    </w:p>
    <w:p w14:paraId="2A106F46" w14:textId="5723CAFB" w:rsidR="00B37DFF" w:rsidRDefault="00B37DFF" w:rsidP="00382FB0">
      <w:pPr>
        <w:spacing w:beforeLines="25" w:before="90" w:afterLines="25" w:after="90" w:line="300" w:lineRule="auto"/>
        <w:ind w:firstLineChars="100" w:firstLine="240"/>
        <w:rPr>
          <w:rFonts w:cs="ＭＳ 明朝"/>
          <w:bCs/>
          <w:sz w:val="24"/>
        </w:rPr>
      </w:pPr>
      <w:r>
        <w:rPr>
          <w:rFonts w:cs="ＭＳ 明朝" w:hint="eastAsia"/>
          <w:bCs/>
          <w:sz w:val="24"/>
        </w:rPr>
        <w:t>「幼児期までのこどもの育ちに係る基本的なヴィジョン」（答申）では、「幼児期までこそ、生涯にわたるウェルビーイング（身体的・精神的・社会的に幸せな状態）の向上にとって最重要」とし、</w:t>
      </w:r>
      <w:r>
        <w:rPr>
          <w:rFonts w:cs="ＭＳ 明朝" w:hint="eastAsia"/>
          <w:bCs/>
          <w:sz w:val="24"/>
        </w:rPr>
        <w:t>5</w:t>
      </w:r>
      <w:r>
        <w:rPr>
          <w:rFonts w:cs="ＭＳ 明朝" w:hint="eastAsia"/>
          <w:bCs/>
          <w:sz w:val="24"/>
        </w:rPr>
        <w:t>つのヴィジョンが整理されています。</w:t>
      </w:r>
    </w:p>
    <w:tbl>
      <w:tblPr>
        <w:tblStyle w:val="a4"/>
        <w:tblW w:w="0" w:type="auto"/>
        <w:tblLook w:val="04A0" w:firstRow="1" w:lastRow="0" w:firstColumn="1" w:lastColumn="0" w:noHBand="0" w:noVBand="1"/>
      </w:tblPr>
      <w:tblGrid>
        <w:gridCol w:w="9628"/>
      </w:tblGrid>
      <w:tr w:rsidR="00B37DFF" w14:paraId="4AEA1290" w14:textId="77777777" w:rsidTr="00EF36E4">
        <w:tc>
          <w:tcPr>
            <w:tcW w:w="9628" w:type="dxa"/>
          </w:tcPr>
          <w:p w14:paraId="5AA3C348" w14:textId="07A9B514" w:rsidR="00B37DFF" w:rsidRDefault="00B37DFF" w:rsidP="00AA526B">
            <w:pPr>
              <w:pStyle w:val="a9"/>
              <w:numPr>
                <w:ilvl w:val="0"/>
                <w:numId w:val="13"/>
              </w:numPr>
              <w:spacing w:beforeLines="25" w:before="90" w:afterLines="25" w:after="90"/>
              <w:ind w:leftChars="0"/>
              <w:rPr>
                <w:rFonts w:cs="ＭＳ 明朝"/>
                <w:bCs/>
                <w:sz w:val="24"/>
              </w:rPr>
            </w:pPr>
            <w:r>
              <w:rPr>
                <w:rFonts w:cs="ＭＳ 明朝" w:hint="eastAsia"/>
                <w:bCs/>
                <w:sz w:val="24"/>
              </w:rPr>
              <w:t>こどもの権利と尊厳を守る</w:t>
            </w:r>
          </w:p>
          <w:p w14:paraId="03B5E809" w14:textId="4C078133" w:rsidR="00B37DFF" w:rsidRDefault="00B37DFF" w:rsidP="00AA526B">
            <w:pPr>
              <w:pStyle w:val="a9"/>
              <w:numPr>
                <w:ilvl w:val="0"/>
                <w:numId w:val="13"/>
              </w:numPr>
              <w:spacing w:beforeLines="25" w:before="90" w:afterLines="25" w:after="90"/>
              <w:ind w:leftChars="0"/>
              <w:rPr>
                <w:rFonts w:cs="ＭＳ 明朝"/>
                <w:bCs/>
                <w:sz w:val="24"/>
              </w:rPr>
            </w:pPr>
            <w:r>
              <w:rPr>
                <w:rFonts w:cs="ＭＳ 明朝" w:hint="eastAsia"/>
                <w:bCs/>
                <w:sz w:val="24"/>
              </w:rPr>
              <w:t>「安心と挑戦の循環」を通してこどものウェルビーイングを高める</w:t>
            </w:r>
          </w:p>
          <w:p w14:paraId="7566D37E" w14:textId="5189DB4A" w:rsidR="00B37DFF" w:rsidRDefault="00B37DFF" w:rsidP="00AA526B">
            <w:pPr>
              <w:pStyle w:val="a9"/>
              <w:numPr>
                <w:ilvl w:val="0"/>
                <w:numId w:val="13"/>
              </w:numPr>
              <w:spacing w:beforeLines="25" w:before="90" w:afterLines="25" w:after="90"/>
              <w:ind w:leftChars="0"/>
              <w:rPr>
                <w:rFonts w:cs="ＭＳ 明朝"/>
                <w:bCs/>
                <w:sz w:val="24"/>
              </w:rPr>
            </w:pPr>
            <w:r>
              <w:rPr>
                <w:rFonts w:cs="ＭＳ 明朝" w:hint="eastAsia"/>
                <w:bCs/>
                <w:sz w:val="24"/>
              </w:rPr>
              <w:t>「こどもの誕生前」から切れ目なく育ちを支える</w:t>
            </w:r>
          </w:p>
          <w:p w14:paraId="778DCAED" w14:textId="7B016AFD" w:rsidR="00B37DFF" w:rsidRDefault="00B37DFF" w:rsidP="00AA526B">
            <w:pPr>
              <w:pStyle w:val="a9"/>
              <w:numPr>
                <w:ilvl w:val="0"/>
                <w:numId w:val="13"/>
              </w:numPr>
              <w:spacing w:beforeLines="25" w:before="90" w:afterLines="25" w:after="90"/>
              <w:ind w:leftChars="0"/>
              <w:rPr>
                <w:rFonts w:cs="ＭＳ 明朝"/>
                <w:bCs/>
                <w:sz w:val="24"/>
              </w:rPr>
            </w:pPr>
            <w:r>
              <w:rPr>
                <w:rFonts w:cs="ＭＳ 明朝" w:hint="eastAsia"/>
                <w:bCs/>
                <w:sz w:val="24"/>
              </w:rPr>
              <w:t>保護者・養育者のウェルビーイングと成長の支援・応援をする</w:t>
            </w:r>
          </w:p>
          <w:p w14:paraId="3FE83946" w14:textId="0E2AA60A" w:rsidR="00B37DFF" w:rsidRPr="00B37DFF" w:rsidRDefault="00B37DFF" w:rsidP="00BA43E3">
            <w:pPr>
              <w:pStyle w:val="a9"/>
              <w:numPr>
                <w:ilvl w:val="0"/>
                <w:numId w:val="13"/>
              </w:numPr>
              <w:spacing w:beforeLines="25" w:before="90" w:afterLines="25" w:after="90"/>
              <w:ind w:leftChars="0"/>
              <w:rPr>
                <w:rFonts w:cs="ＭＳ 明朝"/>
                <w:bCs/>
                <w:sz w:val="24"/>
              </w:rPr>
            </w:pPr>
            <w:r>
              <w:rPr>
                <w:rFonts w:cs="ＭＳ 明朝" w:hint="eastAsia"/>
                <w:bCs/>
                <w:sz w:val="24"/>
              </w:rPr>
              <w:t>こどもの育ちを支える環境や社会の厚みを増す</w:t>
            </w:r>
          </w:p>
        </w:tc>
      </w:tr>
    </w:tbl>
    <w:p w14:paraId="68A2C00D" w14:textId="77777777" w:rsidR="00AA526B" w:rsidRDefault="00AA526B" w:rsidP="00AA526B">
      <w:pPr>
        <w:ind w:firstLineChars="100" w:firstLine="240"/>
        <w:rPr>
          <w:rFonts w:cs="ＭＳ 明朝"/>
          <w:bCs/>
          <w:sz w:val="24"/>
        </w:rPr>
      </w:pPr>
    </w:p>
    <w:p w14:paraId="560C4F10" w14:textId="10E990A7" w:rsidR="00AA526B" w:rsidRDefault="00AA526B" w:rsidP="00AA526B">
      <w:pPr>
        <w:spacing w:beforeLines="25" w:before="90" w:afterLines="25" w:after="90" w:line="300" w:lineRule="auto"/>
        <w:ind w:firstLineChars="100" w:firstLine="240"/>
        <w:rPr>
          <w:rFonts w:cs="ＭＳ 明朝"/>
          <w:bCs/>
          <w:sz w:val="24"/>
        </w:rPr>
      </w:pPr>
      <w:r>
        <w:rPr>
          <w:rFonts w:cs="ＭＳ 明朝" w:hint="eastAsia"/>
          <w:bCs/>
          <w:sz w:val="24"/>
        </w:rPr>
        <w:t>そのうえで、</w:t>
      </w:r>
      <w:r w:rsidR="004F6112">
        <w:rPr>
          <w:rFonts w:cs="ＭＳ 明朝" w:hint="eastAsia"/>
          <w:bCs/>
          <w:sz w:val="24"/>
        </w:rPr>
        <w:t>実効性のある「育ちのヴィジョン」とするために、</w:t>
      </w:r>
      <w:r>
        <w:rPr>
          <w:rFonts w:cs="ＭＳ 明朝" w:hint="eastAsia"/>
          <w:bCs/>
          <w:sz w:val="24"/>
        </w:rPr>
        <w:t>「『こども大綱』の下に策定する『こどもまんなか実行計画』の施策へ反映」すること、「全ての人の具体的行動を促進するための取組を含め、こども家庭庁が司令塔となり、具体策を一体的・総合的に推進」することを求めています。</w:t>
      </w:r>
    </w:p>
    <w:p w14:paraId="2DDEF34E" w14:textId="276CC61E" w:rsidR="009F3AE2" w:rsidRDefault="009F3AE2" w:rsidP="00AA526B">
      <w:pPr>
        <w:spacing w:beforeLines="25" w:before="90" w:afterLines="25" w:after="90" w:line="300" w:lineRule="auto"/>
        <w:ind w:firstLineChars="100" w:firstLine="240"/>
        <w:rPr>
          <w:rFonts w:cs="ＭＳ 明朝"/>
          <w:bCs/>
          <w:sz w:val="24"/>
        </w:rPr>
      </w:pPr>
      <w:r w:rsidRPr="009F3AE2">
        <w:rPr>
          <w:rFonts w:cs="ＭＳ 明朝"/>
          <w:bCs/>
          <w:noProof/>
          <w:sz w:val="24"/>
        </w:rPr>
        <w:lastRenderedPageBreak/>
        <w:drawing>
          <wp:inline distT="0" distB="0" distL="0" distR="0" wp14:anchorId="12F94385" wp14:editId="627F15D0">
            <wp:extent cx="5907840" cy="4135120"/>
            <wp:effectExtent l="19050" t="19050" r="17145" b="17780"/>
            <wp:docPr id="84361375" name="図 1" descr="タイムライ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1375" name="図 1" descr="タイムライン&#10;&#10;低い精度で自動的に生成された説明"/>
                    <pic:cNvPicPr/>
                  </pic:nvPicPr>
                  <pic:blipFill>
                    <a:blip r:embed="rId8"/>
                    <a:stretch>
                      <a:fillRect/>
                    </a:stretch>
                  </pic:blipFill>
                  <pic:spPr>
                    <a:xfrm>
                      <a:off x="0" y="0"/>
                      <a:ext cx="5908800" cy="4135792"/>
                    </a:xfrm>
                    <a:prstGeom prst="rect">
                      <a:avLst/>
                    </a:prstGeom>
                    <a:ln>
                      <a:solidFill>
                        <a:schemeClr val="tx1"/>
                      </a:solidFill>
                    </a:ln>
                  </pic:spPr>
                </pic:pic>
              </a:graphicData>
            </a:graphic>
          </wp:inline>
        </w:drawing>
      </w:r>
    </w:p>
    <w:p w14:paraId="5A878429" w14:textId="77777777" w:rsidR="00063887" w:rsidRDefault="00063887" w:rsidP="00C253CB">
      <w:pPr>
        <w:spacing w:line="240" w:lineRule="exact"/>
        <w:ind w:left="420" w:hanging="210"/>
        <w:rPr>
          <w:rFonts w:cs="ＭＳ 明朝"/>
          <w:bCs/>
          <w:sz w:val="24"/>
        </w:rPr>
      </w:pPr>
    </w:p>
    <w:p w14:paraId="1BE608EA" w14:textId="77777777" w:rsidR="00063887" w:rsidRDefault="00063887" w:rsidP="00063887">
      <w:pPr>
        <w:spacing w:beforeLines="25" w:before="90" w:afterLines="25" w:after="90"/>
        <w:ind w:left="420" w:hanging="210"/>
        <w:rPr>
          <w:rFonts w:cs="ＭＳ 明朝"/>
          <w:bCs/>
          <w:sz w:val="24"/>
        </w:rPr>
      </w:pPr>
      <w:r w:rsidRPr="00D64EAC">
        <w:rPr>
          <w:rFonts w:cs="ＭＳ 明朝" w:hint="eastAsia"/>
          <w:bCs/>
          <w:sz w:val="24"/>
        </w:rPr>
        <w:t>詳細については、こども家庭庁ホームページよりご確認ください。</w:t>
      </w:r>
    </w:p>
    <w:p w14:paraId="7E8A2450" w14:textId="6722A5FC" w:rsidR="001076B8" w:rsidRDefault="00063887" w:rsidP="001076B8">
      <w:pPr>
        <w:adjustRightInd w:val="0"/>
        <w:snapToGrid w:val="0"/>
        <w:spacing w:beforeLines="50" w:before="180" w:line="160" w:lineRule="atLeast"/>
        <w:ind w:left="420" w:hanging="210"/>
        <w:rPr>
          <w:rFonts w:cs="ＭＳ 明朝"/>
          <w:bCs/>
          <w:sz w:val="18"/>
          <w:szCs w:val="18"/>
        </w:rPr>
      </w:pPr>
      <w:r w:rsidRPr="00D64EAC">
        <w:rPr>
          <w:rFonts w:cs="ＭＳ 明朝" w:hint="eastAsia"/>
          <w:bCs/>
          <w:sz w:val="18"/>
          <w:szCs w:val="18"/>
        </w:rPr>
        <w:t>■</w:t>
      </w:r>
      <w:r w:rsidRPr="00D64EAC">
        <w:rPr>
          <w:rFonts w:cs="ＭＳ 明朝" w:hint="eastAsia"/>
          <w:bCs/>
          <w:sz w:val="18"/>
          <w:szCs w:val="18"/>
        </w:rPr>
        <w:t xml:space="preserve"> </w:t>
      </w:r>
      <w:r w:rsidRPr="00D64EAC">
        <w:rPr>
          <w:rFonts w:cs="ＭＳ 明朝" w:hint="eastAsia"/>
          <w:bCs/>
          <w:sz w:val="18"/>
          <w:szCs w:val="18"/>
        </w:rPr>
        <w:t>ホーム＞</w:t>
      </w:r>
      <w:r w:rsidR="00AA526B">
        <w:rPr>
          <w:rFonts w:cs="ＭＳ 明朝" w:hint="eastAsia"/>
          <w:bCs/>
          <w:sz w:val="18"/>
          <w:szCs w:val="18"/>
        </w:rPr>
        <w:t>会議等</w:t>
      </w:r>
      <w:r w:rsidRPr="00D64EAC">
        <w:rPr>
          <w:rFonts w:cs="ＭＳ 明朝" w:hint="eastAsia"/>
          <w:bCs/>
          <w:sz w:val="18"/>
          <w:szCs w:val="18"/>
        </w:rPr>
        <w:t>＞</w:t>
      </w:r>
      <w:r w:rsidR="00AA526B">
        <w:rPr>
          <w:rFonts w:cs="ＭＳ 明朝" w:hint="eastAsia"/>
          <w:bCs/>
          <w:sz w:val="18"/>
          <w:szCs w:val="18"/>
        </w:rPr>
        <w:t>こども家庭審議会</w:t>
      </w:r>
    </w:p>
    <w:p w14:paraId="73ECA0CB" w14:textId="7D7448CC" w:rsidR="00C253CB" w:rsidRDefault="00000000" w:rsidP="00AA526B">
      <w:pPr>
        <w:adjustRightInd w:val="0"/>
        <w:snapToGrid w:val="0"/>
        <w:spacing w:beforeLines="25" w:before="90" w:line="160" w:lineRule="atLeast"/>
        <w:ind w:firstLineChars="200" w:firstLine="420"/>
        <w:rPr>
          <w:rFonts w:ascii="BIZ UDPゴシック" w:eastAsia="BIZ UDPゴシック" w:hAnsi="BIZ UDPゴシック" w:cs="ＭＳ 明朝"/>
          <w:bCs/>
          <w:sz w:val="24"/>
        </w:rPr>
      </w:pPr>
      <w:hyperlink r:id="rId9" w:history="1">
        <w:r w:rsidR="00AA526B" w:rsidRPr="001A7EB5">
          <w:rPr>
            <w:rStyle w:val="a3"/>
            <w:rFonts w:cs="ＭＳ 明朝"/>
            <w:bCs/>
            <w:szCs w:val="21"/>
          </w:rPr>
          <w:t>https://www.cfa.go.jp/councils/shingikai/</w:t>
        </w:r>
      </w:hyperlink>
    </w:p>
    <w:sectPr w:rsidR="00C253CB" w:rsidSect="00D37E86">
      <w:footerReference w:type="default" r:id="rId10"/>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B8E7" w14:textId="77777777" w:rsidR="00D12C40" w:rsidRDefault="00D12C40" w:rsidP="00AC6D2B">
      <w:r>
        <w:separator/>
      </w:r>
    </w:p>
  </w:endnote>
  <w:endnote w:type="continuationSeparator" w:id="0">
    <w:p w14:paraId="65D58097" w14:textId="77777777" w:rsidR="00D12C40" w:rsidRDefault="00D12C4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B85E" w14:textId="77777777" w:rsidR="00D12C40" w:rsidRDefault="00D12C40" w:rsidP="00AC6D2B">
      <w:r>
        <w:separator/>
      </w:r>
    </w:p>
  </w:footnote>
  <w:footnote w:type="continuationSeparator" w:id="0">
    <w:p w14:paraId="039DA844" w14:textId="77777777" w:rsidR="00D12C40" w:rsidRDefault="00D12C4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8280194">
    <w:abstractNumId w:val="11"/>
  </w:num>
  <w:num w:numId="2" w16cid:durableId="1371106786">
    <w:abstractNumId w:val="6"/>
  </w:num>
  <w:num w:numId="3" w16cid:durableId="1310095688">
    <w:abstractNumId w:val="10"/>
  </w:num>
  <w:num w:numId="4" w16cid:durableId="1986860436">
    <w:abstractNumId w:val="3"/>
  </w:num>
  <w:num w:numId="5" w16cid:durableId="350835329">
    <w:abstractNumId w:val="2"/>
  </w:num>
  <w:num w:numId="6" w16cid:durableId="560989301">
    <w:abstractNumId w:val="5"/>
  </w:num>
  <w:num w:numId="7" w16cid:durableId="1399090749">
    <w:abstractNumId w:val="1"/>
  </w:num>
  <w:num w:numId="8" w16cid:durableId="200093388">
    <w:abstractNumId w:val="8"/>
  </w:num>
  <w:num w:numId="9" w16cid:durableId="980622135">
    <w:abstractNumId w:val="4"/>
  </w:num>
  <w:num w:numId="10" w16cid:durableId="674651562">
    <w:abstractNumId w:val="0"/>
  </w:num>
  <w:num w:numId="11" w16cid:durableId="13843613">
    <w:abstractNumId w:val="7"/>
  </w:num>
  <w:num w:numId="12" w16cid:durableId="1332874010">
    <w:abstractNumId w:val="12"/>
  </w:num>
  <w:num w:numId="13" w16cid:durableId="11537208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601A2"/>
    <w:rsid w:val="000610EC"/>
    <w:rsid w:val="00061EB3"/>
    <w:rsid w:val="00063887"/>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5168"/>
    <w:rsid w:val="001C5A84"/>
    <w:rsid w:val="001C6C72"/>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500C6"/>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E"/>
    <w:rsid w:val="004445F9"/>
    <w:rsid w:val="00444C7D"/>
    <w:rsid w:val="00444FCF"/>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1DE0"/>
    <w:rsid w:val="00542F08"/>
    <w:rsid w:val="005430EC"/>
    <w:rsid w:val="005433C9"/>
    <w:rsid w:val="00543726"/>
    <w:rsid w:val="00543AA4"/>
    <w:rsid w:val="0054414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133B"/>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84"/>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1C8"/>
    <w:rsid w:val="00CB6370"/>
    <w:rsid w:val="00CB66FB"/>
    <w:rsid w:val="00CB6CB3"/>
    <w:rsid w:val="00CB70B8"/>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2C40"/>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councils/shingik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D96F-2F27-4EE2-922E-93F7B5EA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117</cp:revision>
  <cp:lastPrinted>2023-12-04T04:48:00Z</cp:lastPrinted>
  <dcterms:created xsi:type="dcterms:W3CDTF">2023-07-26T10:44:00Z</dcterms:created>
  <dcterms:modified xsi:type="dcterms:W3CDTF">2023-12-06T00:31:00Z</dcterms:modified>
</cp:coreProperties>
</file>