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74E90683" w14:textId="77777777" w:rsidR="007F48B1" w:rsidRDefault="00DB092F" w:rsidP="009F5AF5">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「こども政策の新たな推進体制に関する基本方針</w:t>
      </w:r>
    </w:p>
    <w:p w14:paraId="26410268" w14:textId="63920C26" w:rsidR="009F5AF5" w:rsidRDefault="00DB092F" w:rsidP="007F48B1">
      <w:pPr>
        <w:pStyle w:val="a9"/>
        <w:tabs>
          <w:tab w:val="left" w:leader="middleDot" w:pos="9498"/>
        </w:tabs>
        <w:ind w:leftChars="0" w:left="357" w:right="-142" w:firstLineChars="100" w:firstLine="2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～こどもまんなか社会を目指すこども家庭庁の創設～」が閣議決定される</w:t>
      </w:r>
      <w:r w:rsidR="009F5AF5">
        <w:rPr>
          <w:rFonts w:ascii="BIZ UDPゴシック" w:eastAsia="BIZ UDPゴシック" w:hAnsi="BIZ UDPゴシック"/>
          <w:w w:val="99"/>
          <w:sz w:val="26"/>
          <w:szCs w:val="26"/>
        </w:rPr>
        <w:tab/>
      </w:r>
      <w:r w:rsidR="009F5AF5">
        <w:rPr>
          <w:rFonts w:ascii="BIZ UDPゴシック" w:eastAsia="BIZ UDPゴシック" w:hAnsi="BIZ UDPゴシック" w:hint="eastAsia"/>
          <w:w w:val="99"/>
          <w:sz w:val="26"/>
          <w:szCs w:val="26"/>
        </w:rPr>
        <w:t>１</w:t>
      </w:r>
    </w:p>
    <w:p w14:paraId="5463D6BB" w14:textId="2EAC0D78" w:rsidR="00007934" w:rsidRPr="003E7AAE" w:rsidRDefault="00007934" w:rsidP="00A85732">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10400EE7" w14:textId="77777777" w:rsidR="007F48B1" w:rsidRDefault="009F5AF5" w:rsidP="009F5AF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DB092F" w:rsidRPr="00DB092F">
        <w:rPr>
          <w:rFonts w:ascii="BIZ UDPゴシック" w:eastAsia="BIZ UDPゴシック" w:hAnsi="BIZ UDPゴシック" w:cs="Courier New" w:hint="eastAsia"/>
          <w:b/>
          <w:sz w:val="40"/>
          <w:szCs w:val="40"/>
        </w:rPr>
        <w:t>「こども政策の新たな推進体制に関する基本方針</w:t>
      </w:r>
    </w:p>
    <w:p w14:paraId="1E6DD51D" w14:textId="77777777" w:rsidR="007F48B1" w:rsidRDefault="00DB092F" w:rsidP="007F48B1">
      <w:pPr>
        <w:snapToGrid w:val="0"/>
        <w:ind w:leftChars="100" w:left="210" w:firstLineChars="200" w:firstLine="720"/>
        <w:contextualSpacing/>
        <w:rPr>
          <w:rFonts w:ascii="BIZ UDPゴシック" w:eastAsia="BIZ UDPゴシック" w:hAnsi="BIZ UDPゴシック" w:cs="Courier New"/>
          <w:b/>
          <w:sz w:val="40"/>
          <w:szCs w:val="40"/>
        </w:rPr>
      </w:pPr>
      <w:r w:rsidRPr="007F48B1">
        <w:rPr>
          <w:rFonts w:ascii="BIZ UDPゴシック" w:eastAsia="BIZ UDPゴシック" w:hAnsi="BIZ UDPゴシック" w:cs="Courier New" w:hint="eastAsia"/>
          <w:b/>
          <w:sz w:val="36"/>
          <w:szCs w:val="40"/>
        </w:rPr>
        <w:t>～こどもまんなか社会を目指すこども家庭庁の創設～</w:t>
      </w:r>
      <w:r w:rsidRPr="00DB092F">
        <w:rPr>
          <w:rFonts w:ascii="BIZ UDPゴシック" w:eastAsia="BIZ UDPゴシック" w:hAnsi="BIZ UDPゴシック" w:cs="Courier New" w:hint="eastAsia"/>
          <w:b/>
          <w:sz w:val="40"/>
          <w:szCs w:val="40"/>
        </w:rPr>
        <w:t>」</w:t>
      </w:r>
    </w:p>
    <w:p w14:paraId="5ADF2F01" w14:textId="6D4580DF" w:rsidR="009F5AF5" w:rsidRPr="00C547A7" w:rsidRDefault="00DB092F" w:rsidP="007F48B1">
      <w:pPr>
        <w:snapToGrid w:val="0"/>
        <w:ind w:leftChars="100" w:left="210" w:firstLineChars="150" w:firstLine="600"/>
        <w:contextualSpacing/>
        <w:rPr>
          <w:rFonts w:ascii="BIZ UDPゴシック" w:eastAsia="BIZ UDPゴシック" w:hAnsi="BIZ UDPゴシック" w:cs="Courier New"/>
          <w:b/>
          <w:sz w:val="40"/>
          <w:szCs w:val="40"/>
        </w:rPr>
      </w:pPr>
      <w:r w:rsidRPr="00DB092F">
        <w:rPr>
          <w:rFonts w:ascii="BIZ UDPゴシック" w:eastAsia="BIZ UDPゴシック" w:hAnsi="BIZ UDPゴシック" w:cs="Courier New" w:hint="eastAsia"/>
          <w:b/>
          <w:sz w:val="40"/>
          <w:szCs w:val="40"/>
        </w:rPr>
        <w:t>が閣議決定される</w:t>
      </w:r>
    </w:p>
    <w:p w14:paraId="3F1B2243" w14:textId="77777777" w:rsidR="009F5AF5" w:rsidRPr="007F48B1" w:rsidRDefault="009F5AF5" w:rsidP="009F5AF5">
      <w:pPr>
        <w:snapToGrid w:val="0"/>
        <w:ind w:left="240" w:hangingChars="100" w:hanging="240"/>
        <w:contextualSpacing/>
        <w:rPr>
          <w:rFonts w:ascii="ＭＳ 明朝" w:hAnsi="ＭＳ 明朝" w:cs="ＭＳ 明朝"/>
          <w:bCs/>
          <w:sz w:val="24"/>
        </w:rPr>
      </w:pPr>
    </w:p>
    <w:p w14:paraId="57E0E197" w14:textId="77777777" w:rsidR="009100B8" w:rsidRDefault="00B87601" w:rsidP="00B87601">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w:t>
      </w:r>
      <w:r>
        <w:rPr>
          <w:rFonts w:cs="ＭＳ 明朝" w:hint="eastAsia"/>
          <w:bCs/>
          <w:sz w:val="24"/>
        </w:rPr>
        <w:t>2</w:t>
      </w:r>
      <w:r w:rsidRPr="001B2ABB">
        <w:rPr>
          <w:rFonts w:cs="ＭＳ 明朝" w:hint="eastAsia"/>
          <w:bCs/>
          <w:sz w:val="24"/>
        </w:rPr>
        <w:t>月</w:t>
      </w:r>
      <w:r w:rsidR="00E761C6">
        <w:rPr>
          <w:rFonts w:cs="ＭＳ 明朝" w:hint="eastAsia"/>
          <w:bCs/>
          <w:sz w:val="24"/>
        </w:rPr>
        <w:t>2</w:t>
      </w:r>
      <w:r w:rsidR="007F48B1">
        <w:rPr>
          <w:rFonts w:cs="ＭＳ 明朝" w:hint="eastAsia"/>
          <w:bCs/>
          <w:sz w:val="24"/>
        </w:rPr>
        <w:t>1</w:t>
      </w:r>
      <w:r w:rsidRPr="001B2ABB">
        <w:rPr>
          <w:rFonts w:cs="ＭＳ 明朝" w:hint="eastAsia"/>
          <w:bCs/>
          <w:sz w:val="24"/>
        </w:rPr>
        <w:t>日、「</w:t>
      </w:r>
      <w:r w:rsidR="009100B8" w:rsidRPr="009100B8">
        <w:rPr>
          <w:rFonts w:cs="ＭＳ 明朝" w:hint="eastAsia"/>
          <w:bCs/>
          <w:sz w:val="24"/>
        </w:rPr>
        <w:t>こども政策の新たな推進体制に関する基本方針</w:t>
      </w:r>
      <w:r w:rsidRPr="001B2ABB">
        <w:rPr>
          <w:rFonts w:cs="ＭＳ 明朝" w:hint="eastAsia"/>
          <w:bCs/>
          <w:sz w:val="24"/>
        </w:rPr>
        <w:t>地域</w:t>
      </w:r>
      <w:r w:rsidR="009100B8" w:rsidRPr="009100B8">
        <w:rPr>
          <w:rFonts w:cs="ＭＳ 明朝" w:hint="eastAsia"/>
          <w:bCs/>
          <w:sz w:val="24"/>
        </w:rPr>
        <w:t>～こどもまんなか社会を目指すこども家庭庁の創設～</w:t>
      </w:r>
      <w:r w:rsidR="009100B8">
        <w:rPr>
          <w:rFonts w:cs="ＭＳ 明朝" w:hint="eastAsia"/>
          <w:bCs/>
          <w:sz w:val="24"/>
        </w:rPr>
        <w:t>」が閣議決定されました。</w:t>
      </w:r>
    </w:p>
    <w:p w14:paraId="753D0DA6" w14:textId="7C745FFB" w:rsidR="009D6064" w:rsidRDefault="009D6064" w:rsidP="00B87601">
      <w:pPr>
        <w:snapToGrid w:val="0"/>
        <w:spacing w:beforeLines="25" w:before="90" w:line="300" w:lineRule="auto"/>
        <w:ind w:right="-1" w:firstLineChars="100" w:firstLine="240"/>
        <w:rPr>
          <w:rFonts w:cs="ＭＳ 明朝"/>
          <w:bCs/>
          <w:sz w:val="24"/>
        </w:rPr>
      </w:pPr>
      <w:r>
        <w:rPr>
          <w:rFonts w:cs="ＭＳ 明朝" w:hint="eastAsia"/>
          <w:bCs/>
          <w:sz w:val="24"/>
        </w:rPr>
        <w:t>「基本方針」では、「常にこどもの最善の利益を第一に考え、こどもに関する取組・政策を我が国社会の真ん中に据えて」、「こどもの権利を保障し、こどもを誰一人取り残さず、健やかな成長を社会全体で後押しする」ため</w:t>
      </w:r>
      <w:r w:rsidR="00FC3331">
        <w:rPr>
          <w:rFonts w:cs="ＭＳ 明朝" w:hint="eastAsia"/>
          <w:bCs/>
          <w:sz w:val="24"/>
        </w:rPr>
        <w:t>、</w:t>
      </w:r>
      <w:r>
        <w:rPr>
          <w:rFonts w:cs="ＭＳ 明朝" w:hint="eastAsia"/>
          <w:bCs/>
          <w:sz w:val="24"/>
        </w:rPr>
        <w:t>「新たな司令塔として、こども家庭庁を創設する」と</w:t>
      </w:r>
      <w:r w:rsidR="00FC3331">
        <w:rPr>
          <w:rFonts w:cs="ＭＳ 明朝" w:hint="eastAsia"/>
          <w:bCs/>
          <w:sz w:val="24"/>
        </w:rPr>
        <w:t>されています</w:t>
      </w:r>
      <w:r>
        <w:rPr>
          <w:rFonts w:cs="ＭＳ 明朝" w:hint="eastAsia"/>
          <w:bCs/>
          <w:sz w:val="24"/>
        </w:rPr>
        <w:t>。</w:t>
      </w:r>
    </w:p>
    <w:p w14:paraId="5AD05565" w14:textId="0028C25E" w:rsidR="00960FE8" w:rsidRDefault="00960FE8" w:rsidP="00960FE8">
      <w:pPr>
        <w:snapToGrid w:val="0"/>
        <w:spacing w:beforeLines="25" w:before="90" w:line="300" w:lineRule="auto"/>
        <w:ind w:right="-1" w:firstLineChars="100" w:firstLine="240"/>
        <w:rPr>
          <w:rFonts w:cs="ＭＳ 明朝"/>
          <w:bCs/>
          <w:sz w:val="24"/>
        </w:rPr>
      </w:pPr>
      <w:r>
        <w:rPr>
          <w:rFonts w:cs="ＭＳ 明朝" w:hint="eastAsia"/>
          <w:bCs/>
          <w:sz w:val="24"/>
        </w:rPr>
        <w:t>「こども家庭庁」は令和</w:t>
      </w:r>
      <w:r>
        <w:rPr>
          <w:rFonts w:cs="ＭＳ 明朝" w:hint="eastAsia"/>
          <w:bCs/>
          <w:sz w:val="24"/>
        </w:rPr>
        <w:t>5</w:t>
      </w:r>
      <w:r>
        <w:rPr>
          <w:rFonts w:cs="ＭＳ 明朝" w:hint="eastAsia"/>
          <w:bCs/>
          <w:sz w:val="24"/>
        </w:rPr>
        <w:t>年度のできる限り早い時期に創設することとされ、次期通常国会に必要な法律案が提出されます。</w:t>
      </w:r>
    </w:p>
    <w:p w14:paraId="6316CFD6" w14:textId="19F3F433" w:rsidR="009D6064" w:rsidRDefault="006D0FE9" w:rsidP="00B87601">
      <w:pPr>
        <w:snapToGrid w:val="0"/>
        <w:spacing w:beforeLines="25" w:before="90" w:line="300" w:lineRule="auto"/>
        <w:ind w:right="-1" w:firstLineChars="100" w:firstLine="240"/>
        <w:rPr>
          <w:rFonts w:cs="ＭＳ 明朝"/>
          <w:bCs/>
          <w:sz w:val="24"/>
        </w:rPr>
      </w:pPr>
      <w:r>
        <w:rPr>
          <w:rFonts w:cs="ＭＳ 明朝" w:hint="eastAsia"/>
          <w:bCs/>
          <w:sz w:val="24"/>
        </w:rPr>
        <w:t>「こども家庭庁」</w:t>
      </w:r>
      <w:r w:rsidR="00960FE8">
        <w:rPr>
          <w:rFonts w:cs="ＭＳ 明朝" w:hint="eastAsia"/>
          <w:bCs/>
          <w:sz w:val="24"/>
        </w:rPr>
        <w:t>の体制としては</w:t>
      </w:r>
      <w:r>
        <w:rPr>
          <w:rFonts w:cs="ＭＳ 明朝" w:hint="eastAsia"/>
          <w:bCs/>
          <w:sz w:val="24"/>
        </w:rPr>
        <w:t>、</w:t>
      </w:r>
      <w:r>
        <w:rPr>
          <w:rFonts w:cs="ＭＳ 明朝" w:hint="eastAsia"/>
          <w:bCs/>
          <w:sz w:val="24"/>
        </w:rPr>
        <w:t>3</w:t>
      </w:r>
      <w:r w:rsidR="00960FE8">
        <w:rPr>
          <w:rFonts w:cs="ＭＳ 明朝" w:hint="eastAsia"/>
          <w:bCs/>
          <w:sz w:val="24"/>
        </w:rPr>
        <w:t>つの</w:t>
      </w:r>
      <w:r>
        <w:rPr>
          <w:rFonts w:cs="ＭＳ 明朝" w:hint="eastAsia"/>
          <w:bCs/>
          <w:sz w:val="24"/>
        </w:rPr>
        <w:t>部門が設けられ、そのうち、主に「成育部門」が「就学前の全てのこどもの育ちの保障」を担当し、下記の取り組みが行わることになります。</w:t>
      </w:r>
    </w:p>
    <w:p w14:paraId="0E0337EC" w14:textId="3E6DBA3E" w:rsidR="00FC3331" w:rsidRDefault="00FC3331" w:rsidP="00FC3331">
      <w:pPr>
        <w:pStyle w:val="a9"/>
        <w:numPr>
          <w:ilvl w:val="0"/>
          <w:numId w:val="35"/>
        </w:numPr>
        <w:snapToGrid w:val="0"/>
        <w:spacing w:beforeLines="25" w:before="90" w:line="300" w:lineRule="auto"/>
        <w:ind w:leftChars="0" w:right="-1"/>
        <w:rPr>
          <w:rFonts w:cs="ＭＳ 明朝"/>
          <w:bCs/>
          <w:sz w:val="24"/>
        </w:rPr>
      </w:pPr>
      <w:r w:rsidRPr="00FC3331">
        <w:rPr>
          <w:rFonts w:cs="ＭＳ 明朝" w:hint="eastAsia"/>
          <w:bCs/>
          <w:sz w:val="24"/>
        </w:rPr>
        <w:t>こども家庭庁は、</w:t>
      </w:r>
      <w:r w:rsidR="00F91B36">
        <w:rPr>
          <w:rFonts w:cs="ＭＳ 明朝" w:hint="eastAsia"/>
          <w:bCs/>
          <w:sz w:val="24"/>
        </w:rPr>
        <w:t>就学</w:t>
      </w:r>
      <w:r w:rsidRPr="00FC3331">
        <w:rPr>
          <w:rFonts w:cs="ＭＳ 明朝" w:hint="eastAsia"/>
          <w:bCs/>
          <w:sz w:val="24"/>
        </w:rPr>
        <w:t>前のこどもの健やかな成長のための環境確保及びこどものある家庭における子育て支援に関する事務を所掌</w:t>
      </w:r>
    </w:p>
    <w:p w14:paraId="4F74BB44" w14:textId="2145A84E" w:rsidR="00FC3331" w:rsidRDefault="00FC3331" w:rsidP="00FC3331">
      <w:pPr>
        <w:pStyle w:val="a9"/>
        <w:numPr>
          <w:ilvl w:val="0"/>
          <w:numId w:val="35"/>
        </w:numPr>
        <w:snapToGrid w:val="0"/>
        <w:spacing w:beforeLines="25" w:before="90" w:line="300" w:lineRule="auto"/>
        <w:ind w:leftChars="0" w:right="-1"/>
        <w:rPr>
          <w:rFonts w:cs="ＭＳ 明朝"/>
          <w:bCs/>
          <w:sz w:val="24"/>
        </w:rPr>
      </w:pPr>
      <w:r>
        <w:rPr>
          <w:rFonts w:cs="ＭＳ 明朝" w:hint="eastAsia"/>
          <w:bCs/>
          <w:sz w:val="24"/>
        </w:rPr>
        <w:t>幼稚園に通うこどもや、いずれの施設にも通っていない乳幼児を含む、就学前の全てのこどもの育ちの保障を担う</w:t>
      </w:r>
    </w:p>
    <w:p w14:paraId="08567615" w14:textId="34E7A0E2" w:rsidR="00FC3331" w:rsidRDefault="00FC3331" w:rsidP="00FC3331">
      <w:pPr>
        <w:pStyle w:val="a9"/>
        <w:numPr>
          <w:ilvl w:val="0"/>
          <w:numId w:val="35"/>
        </w:numPr>
        <w:snapToGrid w:val="0"/>
        <w:spacing w:beforeLines="25" w:before="90" w:line="300" w:lineRule="auto"/>
        <w:ind w:leftChars="0" w:right="-1"/>
        <w:rPr>
          <w:rFonts w:cs="ＭＳ 明朝"/>
          <w:bCs/>
          <w:sz w:val="24"/>
        </w:rPr>
      </w:pPr>
      <w:r>
        <w:rPr>
          <w:rFonts w:cs="ＭＳ 明朝" w:hint="eastAsia"/>
          <w:bCs/>
          <w:sz w:val="24"/>
        </w:rPr>
        <w:t>幼稚園、保育所、認定こども園、家庭、地域を含めた、政府内の取組を主導する（就学前のこどもの育ちに係る基本的な指針</w:t>
      </w:r>
      <w:r>
        <w:rPr>
          <w:rFonts w:cs="ＭＳ 明朝" w:hint="eastAsia"/>
          <w:bCs/>
          <w:sz w:val="24"/>
        </w:rPr>
        <w:t>(</w:t>
      </w:r>
      <w:r>
        <w:rPr>
          <w:rFonts w:cs="ＭＳ 明朝" w:hint="eastAsia"/>
          <w:bCs/>
          <w:sz w:val="24"/>
        </w:rPr>
        <w:t>仮称</w:t>
      </w:r>
      <w:r>
        <w:rPr>
          <w:rFonts w:cs="ＭＳ 明朝" w:hint="eastAsia"/>
          <w:bCs/>
          <w:sz w:val="24"/>
        </w:rPr>
        <w:t>)</w:t>
      </w:r>
      <w:r>
        <w:rPr>
          <w:rFonts w:cs="ＭＳ 明朝" w:hint="eastAsia"/>
          <w:bCs/>
          <w:sz w:val="24"/>
        </w:rPr>
        <w:t>を新たに閣議決定）</w:t>
      </w:r>
    </w:p>
    <w:p w14:paraId="3513BD1E" w14:textId="0F3C2822" w:rsidR="00402417" w:rsidRDefault="00402417" w:rsidP="00FC3331">
      <w:pPr>
        <w:pStyle w:val="a9"/>
        <w:numPr>
          <w:ilvl w:val="0"/>
          <w:numId w:val="35"/>
        </w:numPr>
        <w:snapToGrid w:val="0"/>
        <w:spacing w:beforeLines="25" w:before="90" w:line="300" w:lineRule="auto"/>
        <w:ind w:leftChars="0" w:right="-1"/>
        <w:rPr>
          <w:rFonts w:cs="ＭＳ 明朝"/>
          <w:bCs/>
          <w:sz w:val="24"/>
        </w:rPr>
      </w:pPr>
      <w:r>
        <w:rPr>
          <w:rFonts w:cs="ＭＳ 明朝" w:hint="eastAsia"/>
          <w:bCs/>
          <w:sz w:val="24"/>
        </w:rPr>
        <w:t>施設類型を問わず共通の教育・保育を受けることが可能となるよう、こども家庭庁は、就学前のこどもの健やかな成長のための環境確保及びこどものある家庭における子育て支援に関する事務を所掌する観点から、文部科学省の定める幼稚園の教育内容の基準の策定に当たり協議を受けることとし、文部科学省は、幼児教育の振興に関する事務を所掌する観点から、こども家庭庁が定める保育所の保育内容の基準の策定に当たり協議を受けることとし、これらの教育・保育内容の基準をともに策定（共同告示）すること</w:t>
      </w:r>
      <w:r w:rsidR="00721174">
        <w:rPr>
          <w:rFonts w:cs="ＭＳ 明朝" w:hint="eastAsia"/>
          <w:bCs/>
          <w:sz w:val="24"/>
        </w:rPr>
        <w:t>とする。幼保連携型認定こども園の教育・保育内容の基準をこども家庭庁及び文部科学省が定めることと併せ、</w:t>
      </w:r>
      <w:r w:rsidR="00721174">
        <w:rPr>
          <w:rFonts w:cs="ＭＳ 明朝" w:hint="eastAsia"/>
          <w:bCs/>
          <w:sz w:val="24"/>
        </w:rPr>
        <w:t>3</w:t>
      </w:r>
      <w:r w:rsidR="00721174">
        <w:rPr>
          <w:rFonts w:cs="ＭＳ 明朝" w:hint="eastAsia"/>
          <w:bCs/>
          <w:sz w:val="24"/>
        </w:rPr>
        <w:t>施設の教育・保育内容の基準の整合性を制度的に担保する。</w:t>
      </w:r>
    </w:p>
    <w:p w14:paraId="11DC4AFD" w14:textId="1DDC5EDF" w:rsidR="00721174" w:rsidRDefault="00721174" w:rsidP="00721174">
      <w:pPr>
        <w:pStyle w:val="a9"/>
        <w:snapToGrid w:val="0"/>
        <w:spacing w:beforeLines="25" w:before="90" w:line="300" w:lineRule="auto"/>
        <w:ind w:leftChars="0" w:left="660" w:right="-1"/>
        <w:rPr>
          <w:rFonts w:cs="ＭＳ 明朝"/>
          <w:bCs/>
          <w:sz w:val="24"/>
        </w:rPr>
      </w:pPr>
      <w:r>
        <w:rPr>
          <w:rFonts w:ascii="ＭＳ 明朝" w:eastAsia="ＭＳ 明朝" w:hAnsi="ＭＳ 明朝" w:cs="ＭＳ 明朝" w:hint="eastAsia"/>
          <w:bCs/>
          <w:sz w:val="24"/>
        </w:rPr>
        <w:lastRenderedPageBreak/>
        <w:t xml:space="preserve">⇒ </w:t>
      </w:r>
      <w:r>
        <w:rPr>
          <w:rFonts w:cs="ＭＳ 明朝" w:hint="eastAsia"/>
          <w:bCs/>
          <w:sz w:val="24"/>
        </w:rPr>
        <w:t>幼稚園教育要領・保育所保育指針を、相互に協議のうえ、共同で策定</w:t>
      </w:r>
    </w:p>
    <w:p w14:paraId="446AF8FB" w14:textId="67B390D6" w:rsidR="00B90B5C" w:rsidRPr="00B90B5C" w:rsidRDefault="00B90B5C" w:rsidP="00F91B36">
      <w:pPr>
        <w:snapToGrid w:val="0"/>
        <w:spacing w:beforeLines="50" w:before="180" w:line="300" w:lineRule="auto"/>
        <w:ind w:left="238"/>
        <w:rPr>
          <w:rFonts w:cs="ＭＳ 明朝"/>
          <w:bCs/>
          <w:sz w:val="24"/>
        </w:rPr>
      </w:pPr>
      <w:r>
        <w:rPr>
          <w:rFonts w:cs="ＭＳ 明朝" w:hint="eastAsia"/>
          <w:bCs/>
          <w:sz w:val="24"/>
        </w:rPr>
        <w:t>文部科学省については、下記の取り組み行うことが整理されています。</w:t>
      </w:r>
    </w:p>
    <w:p w14:paraId="1BC70990" w14:textId="44B01457" w:rsidR="00FC3331" w:rsidRDefault="00FC3331" w:rsidP="00FC3331">
      <w:pPr>
        <w:pStyle w:val="a9"/>
        <w:numPr>
          <w:ilvl w:val="0"/>
          <w:numId w:val="36"/>
        </w:numPr>
        <w:snapToGrid w:val="0"/>
        <w:spacing w:beforeLines="25" w:before="90" w:line="300" w:lineRule="auto"/>
        <w:ind w:leftChars="0" w:right="-1"/>
        <w:rPr>
          <w:rFonts w:cs="ＭＳ 明朝"/>
          <w:bCs/>
          <w:sz w:val="24"/>
        </w:rPr>
      </w:pPr>
      <w:r>
        <w:rPr>
          <w:rFonts w:cs="ＭＳ 明朝" w:hint="eastAsia"/>
          <w:bCs/>
          <w:sz w:val="24"/>
        </w:rPr>
        <w:t>文部科学省は、幼児に対する教育の振興に関する基本的な施策の企画及び立案並びに調整に</w:t>
      </w:r>
      <w:r w:rsidR="00B90B5C">
        <w:rPr>
          <w:rFonts w:cs="ＭＳ 明朝" w:hint="eastAsia"/>
          <w:bCs/>
          <w:sz w:val="24"/>
        </w:rPr>
        <w:t>関する事務を所掌</w:t>
      </w:r>
    </w:p>
    <w:p w14:paraId="320935AF" w14:textId="385DE600" w:rsidR="00B90B5C" w:rsidRDefault="00B90B5C" w:rsidP="00FC3331">
      <w:pPr>
        <w:pStyle w:val="a9"/>
        <w:numPr>
          <w:ilvl w:val="0"/>
          <w:numId w:val="36"/>
        </w:numPr>
        <w:snapToGrid w:val="0"/>
        <w:spacing w:beforeLines="25" w:before="90" w:line="300" w:lineRule="auto"/>
        <w:ind w:leftChars="0" w:right="-1"/>
        <w:rPr>
          <w:rFonts w:cs="ＭＳ 明朝"/>
          <w:bCs/>
          <w:sz w:val="24"/>
        </w:rPr>
      </w:pPr>
      <w:r>
        <w:rPr>
          <w:rFonts w:cs="ＭＳ 明朝" w:hint="eastAsia"/>
          <w:bCs/>
          <w:sz w:val="24"/>
        </w:rPr>
        <w:t>就学前の全てのこどもの小学校教育への円滑な接続に向けた各地域における体制整備への支援等を担う</w:t>
      </w:r>
    </w:p>
    <w:p w14:paraId="054D508A" w14:textId="274B2011" w:rsidR="00B90B5C" w:rsidRPr="00FC3331" w:rsidRDefault="00B90B5C" w:rsidP="00FC3331">
      <w:pPr>
        <w:pStyle w:val="a9"/>
        <w:numPr>
          <w:ilvl w:val="0"/>
          <w:numId w:val="36"/>
        </w:numPr>
        <w:snapToGrid w:val="0"/>
        <w:spacing w:beforeLines="25" w:before="90" w:line="300" w:lineRule="auto"/>
        <w:ind w:leftChars="0" w:right="-1"/>
        <w:rPr>
          <w:rFonts w:cs="ＭＳ 明朝"/>
          <w:bCs/>
          <w:sz w:val="24"/>
        </w:rPr>
      </w:pPr>
      <w:r>
        <w:rPr>
          <w:rFonts w:cs="ＭＳ 明朝" w:hint="eastAsia"/>
          <w:bCs/>
          <w:sz w:val="24"/>
        </w:rPr>
        <w:t>こども家庭庁が行う就学前のこどもの健やかな成長のための環境確保及びこどものある家庭における子育て支援に関する事務と緊密に連携して取り組む</w:t>
      </w:r>
    </w:p>
    <w:p w14:paraId="622061C2" w14:textId="7C2CA7AB" w:rsidR="006D0FE9" w:rsidRDefault="00721174" w:rsidP="00F91B36">
      <w:pPr>
        <w:snapToGrid w:val="0"/>
        <w:spacing w:beforeLines="50" w:before="180" w:line="300" w:lineRule="auto"/>
        <w:ind w:firstLineChars="100" w:firstLine="240"/>
        <w:rPr>
          <w:rFonts w:cs="ＭＳ 明朝"/>
          <w:bCs/>
          <w:sz w:val="24"/>
        </w:rPr>
      </w:pPr>
      <w:r>
        <w:rPr>
          <w:rFonts w:cs="ＭＳ 明朝" w:hint="eastAsia"/>
          <w:bCs/>
          <w:sz w:val="24"/>
        </w:rPr>
        <w:t>また</w:t>
      </w:r>
      <w:r w:rsidR="009D273E">
        <w:rPr>
          <w:rFonts w:cs="ＭＳ 明朝" w:hint="eastAsia"/>
          <w:bCs/>
          <w:sz w:val="24"/>
        </w:rPr>
        <w:t>、「就学前の教育・保育についての新たな制度の思考の状況を勘案し、一定期間経過後に検討を加え、必要があると認められるときは、その結果に基づいて所要の措置を講ずる」とされています。</w:t>
      </w:r>
    </w:p>
    <w:p w14:paraId="0B3EE166" w14:textId="078D9F5F" w:rsidR="006D0FE9" w:rsidRDefault="00721174" w:rsidP="00F91B36">
      <w:pPr>
        <w:snapToGrid w:val="0"/>
        <w:spacing w:beforeLines="50" w:before="180" w:afterLines="50" w:after="180" w:line="300" w:lineRule="auto"/>
        <w:ind w:firstLineChars="100" w:firstLine="240"/>
        <w:rPr>
          <w:rFonts w:cs="ＭＳ 明朝"/>
          <w:bCs/>
          <w:sz w:val="24"/>
        </w:rPr>
      </w:pPr>
      <w:r>
        <w:rPr>
          <w:rFonts w:cs="ＭＳ 明朝" w:hint="eastAsia"/>
          <w:bCs/>
          <w:sz w:val="24"/>
        </w:rPr>
        <w:t>なお、「基本方針」において、「こどもにとって必要不可欠な教育は文部科学省の下で充実」とされていることについて、「全保協ニュース</w:t>
      </w:r>
      <w:r>
        <w:rPr>
          <w:rFonts w:cs="ＭＳ 明朝" w:hint="eastAsia"/>
          <w:bCs/>
          <w:sz w:val="24"/>
        </w:rPr>
        <w:t>No.21-30</w:t>
      </w:r>
      <w:r>
        <w:rPr>
          <w:rFonts w:cs="ＭＳ 明朝" w:hint="eastAsia"/>
          <w:bCs/>
          <w:sz w:val="24"/>
        </w:rPr>
        <w:t>」で既報のとおり、「子ども・子育て会議」（第</w:t>
      </w:r>
      <w:r>
        <w:rPr>
          <w:rFonts w:cs="ＭＳ 明朝" w:hint="eastAsia"/>
          <w:bCs/>
          <w:sz w:val="24"/>
        </w:rPr>
        <w:t>59</w:t>
      </w:r>
      <w:r>
        <w:rPr>
          <w:rFonts w:cs="ＭＳ 明朝" w:hint="eastAsia"/>
          <w:bCs/>
          <w:sz w:val="24"/>
        </w:rPr>
        <w:t>回）において、森田信司副会長から</w:t>
      </w:r>
      <w:r w:rsidR="00296E0A">
        <w:rPr>
          <w:rFonts w:cs="ＭＳ 明朝" w:hint="eastAsia"/>
          <w:bCs/>
          <w:sz w:val="24"/>
        </w:rPr>
        <w:t>下記発言を行うとともに、今後、保育三団体協議会として要望活動等を行う予定です。</w:t>
      </w: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96E0A" w14:paraId="66D34A22" w14:textId="77777777" w:rsidTr="00296E0A">
        <w:tc>
          <w:tcPr>
            <w:tcW w:w="9608" w:type="dxa"/>
          </w:tcPr>
          <w:p w14:paraId="7D5CC3A8" w14:textId="77777777" w:rsidR="00296E0A" w:rsidRPr="00535B83" w:rsidRDefault="00296E0A" w:rsidP="00F91B36">
            <w:pPr>
              <w:pStyle w:val="Default"/>
              <w:spacing w:beforeLines="25" w:before="90" w:afterLines="25" w:after="90" w:line="300" w:lineRule="auto"/>
              <w:rPr>
                <w:rFonts w:ascii="BIZ UDPゴシック" w:eastAsia="BIZ UDPゴシック" w:hAnsi="BIZ UDPゴシック"/>
              </w:rPr>
            </w:pPr>
            <w:r w:rsidRPr="00535B83">
              <w:rPr>
                <w:rFonts w:ascii="BIZ UDPゴシック" w:eastAsia="BIZ UDPゴシック" w:hAnsi="BIZ UDPゴシック" w:hint="eastAsia"/>
              </w:rPr>
              <w:t>第5</w:t>
            </w:r>
            <w:r>
              <w:rPr>
                <w:rFonts w:ascii="BIZ UDPゴシック" w:eastAsia="BIZ UDPゴシック" w:hAnsi="BIZ UDPゴシック" w:hint="eastAsia"/>
              </w:rPr>
              <w:t>９</w:t>
            </w:r>
            <w:r w:rsidRPr="00535B83">
              <w:rPr>
                <w:rFonts w:ascii="BIZ UDPゴシック" w:eastAsia="BIZ UDPゴシック" w:hAnsi="BIZ UDPゴシック" w:hint="eastAsia"/>
              </w:rPr>
              <w:t>回子ども・子育て会議　森田信司副会長　発言要旨</w:t>
            </w:r>
          </w:p>
          <w:p w14:paraId="15974233" w14:textId="7B252775" w:rsidR="00296E0A" w:rsidRPr="00403039" w:rsidRDefault="00296E0A" w:rsidP="00F91B36">
            <w:pPr>
              <w:pStyle w:val="Default"/>
              <w:numPr>
                <w:ilvl w:val="1"/>
                <w:numId w:val="28"/>
              </w:numPr>
              <w:spacing w:beforeLines="15" w:before="54" w:afterLines="15" w:after="54" w:line="288" w:lineRule="auto"/>
              <w:ind w:left="589" w:hanging="425"/>
              <w:rPr>
                <w:rFonts w:ascii="Century" w:eastAsiaTheme="minorEastAsia" w:hAnsi="Century"/>
              </w:rPr>
            </w:pPr>
            <w:r w:rsidRPr="00403039">
              <w:rPr>
                <w:rFonts w:asciiTheme="minorHAnsi" w:eastAsiaTheme="minorEastAsia" w:hint="eastAsia"/>
              </w:rPr>
              <w:t>保育</w:t>
            </w:r>
            <w:r>
              <w:rPr>
                <w:rFonts w:asciiTheme="minorHAnsi" w:eastAsiaTheme="minorEastAsia" w:hint="eastAsia"/>
              </w:rPr>
              <w:t>所保育</w:t>
            </w:r>
            <w:r w:rsidRPr="00403039">
              <w:rPr>
                <w:rFonts w:asciiTheme="minorHAnsi" w:eastAsiaTheme="minorEastAsia" w:hint="eastAsia"/>
              </w:rPr>
              <w:t>指針にも、保育所における保育は、養護および教育を一体的に行うことを特性とするとされてい</w:t>
            </w:r>
            <w:r>
              <w:rPr>
                <w:rFonts w:asciiTheme="minorHAnsi" w:eastAsiaTheme="minorEastAsia" w:hint="eastAsia"/>
              </w:rPr>
              <w:t>ます</w:t>
            </w:r>
            <w:r w:rsidRPr="00403039">
              <w:rPr>
                <w:rFonts w:asciiTheme="minorHAnsi" w:eastAsiaTheme="minorEastAsia" w:hint="eastAsia"/>
              </w:rPr>
              <w:t>。保育所においても、日々、子どもの行動一つひとつに、養護と教育の両面から育ちにつながる部分を理解して、保育にあたってい</w:t>
            </w:r>
            <w:r>
              <w:rPr>
                <w:rFonts w:asciiTheme="minorHAnsi" w:eastAsiaTheme="minorEastAsia" w:hint="eastAsia"/>
              </w:rPr>
              <w:t>ます</w:t>
            </w:r>
            <w:r w:rsidRPr="00403039">
              <w:rPr>
                <w:rFonts w:asciiTheme="minorHAnsi" w:eastAsiaTheme="minorEastAsia" w:hint="eastAsia"/>
              </w:rPr>
              <w:t>。</w:t>
            </w:r>
            <w:r>
              <w:rPr>
                <w:rFonts w:asciiTheme="minorHAnsi" w:eastAsiaTheme="minorEastAsia" w:hint="eastAsia"/>
              </w:rPr>
              <w:t>「</w:t>
            </w:r>
            <w:r w:rsidRPr="00403039">
              <w:rPr>
                <w:rFonts w:asciiTheme="minorHAnsi" w:eastAsiaTheme="minorEastAsia" w:hint="eastAsia"/>
              </w:rPr>
              <w:t>基本方針</w:t>
            </w:r>
            <w:r>
              <w:rPr>
                <w:rFonts w:asciiTheme="minorHAnsi" w:eastAsiaTheme="minorEastAsia" w:hint="eastAsia"/>
              </w:rPr>
              <w:t>」（</w:t>
            </w:r>
            <w:r w:rsidRPr="00403039">
              <w:rPr>
                <w:rFonts w:asciiTheme="minorHAnsi" w:eastAsiaTheme="minorEastAsia" w:hint="eastAsia"/>
              </w:rPr>
              <w:t>原案</w:t>
            </w:r>
            <w:r>
              <w:rPr>
                <w:rFonts w:asciiTheme="minorHAnsi" w:eastAsiaTheme="minorEastAsia" w:hint="eastAsia"/>
              </w:rPr>
              <w:t>）</w:t>
            </w:r>
            <w:r w:rsidRPr="00403039">
              <w:rPr>
                <w:rFonts w:asciiTheme="minorHAnsi" w:eastAsiaTheme="minorEastAsia" w:hint="eastAsia"/>
              </w:rPr>
              <w:t>の書きぶりは、保育所では教育を行っていないかのように</w:t>
            </w:r>
            <w:r>
              <w:rPr>
                <w:rFonts w:asciiTheme="minorHAnsi" w:eastAsiaTheme="minorEastAsia" w:hint="eastAsia"/>
              </w:rPr>
              <w:t>捉えられ</w:t>
            </w:r>
            <w:r w:rsidRPr="00403039">
              <w:rPr>
                <w:rFonts w:asciiTheme="minorHAnsi" w:eastAsiaTheme="minorEastAsia" w:hint="eastAsia"/>
              </w:rPr>
              <w:t>、非常に心外で</w:t>
            </w:r>
            <w:r>
              <w:rPr>
                <w:rFonts w:asciiTheme="minorHAnsi" w:eastAsiaTheme="minorEastAsia" w:hint="eastAsia"/>
              </w:rPr>
              <w:t>す。</w:t>
            </w:r>
            <w:r w:rsidRPr="00403039">
              <w:rPr>
                <w:rFonts w:asciiTheme="minorHAnsi" w:eastAsiaTheme="minorEastAsia" w:hint="eastAsia"/>
              </w:rPr>
              <w:t>保育</w:t>
            </w:r>
            <w:r>
              <w:rPr>
                <w:rFonts w:asciiTheme="minorHAnsi" w:eastAsiaTheme="minorEastAsia" w:hint="eastAsia"/>
              </w:rPr>
              <w:t>所においても教育を行っていることを踏まえた表記としていただくようお願いします。</w:t>
            </w:r>
          </w:p>
        </w:tc>
      </w:tr>
    </w:tbl>
    <w:p w14:paraId="04ECD10D" w14:textId="5F2BCCD9" w:rsidR="008437BA" w:rsidRDefault="008437BA" w:rsidP="008437BA">
      <w:pPr>
        <w:snapToGrid w:val="0"/>
        <w:spacing w:beforeLines="75" w:before="270" w:afterLines="25" w:after="90" w:line="300" w:lineRule="auto"/>
        <w:ind w:firstLineChars="100" w:firstLine="240"/>
        <w:rPr>
          <w:rFonts w:cs="ＭＳ 明朝"/>
          <w:bCs/>
          <w:sz w:val="24"/>
        </w:rPr>
      </w:pPr>
      <w:r>
        <w:rPr>
          <w:rFonts w:cs="ＭＳ 明朝" w:hint="eastAsia"/>
          <w:bCs/>
          <w:sz w:val="24"/>
        </w:rPr>
        <w:t>「基本方針」については下記</w:t>
      </w:r>
      <w:r>
        <w:rPr>
          <w:rFonts w:cs="ＭＳ 明朝" w:hint="eastAsia"/>
          <w:bCs/>
          <w:sz w:val="24"/>
        </w:rPr>
        <w:t>URL</w:t>
      </w:r>
      <w:r>
        <w:rPr>
          <w:rFonts w:cs="ＭＳ 明朝" w:hint="eastAsia"/>
          <w:bCs/>
          <w:sz w:val="24"/>
        </w:rPr>
        <w:t>をご確認ください。</w:t>
      </w:r>
    </w:p>
    <w:p w14:paraId="0C1C868A" w14:textId="6F96CAF7" w:rsidR="008437BA" w:rsidRPr="00983AEA" w:rsidRDefault="008437BA" w:rsidP="008437BA">
      <w:pPr>
        <w:snapToGrid w:val="0"/>
        <w:spacing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Pr>
          <w:rFonts w:cs="ＭＳ 明朝" w:hint="eastAsia"/>
          <w:bCs/>
          <w:snapToGrid w:val="0"/>
          <w:color w:val="000000"/>
          <w:kern w:val="0"/>
          <w:sz w:val="20"/>
        </w:rPr>
        <w:t>内閣官房</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Pr>
          <w:rFonts w:cs="ＭＳ 明朝" w:hint="eastAsia"/>
          <w:bCs/>
          <w:snapToGrid w:val="0"/>
          <w:color w:val="000000"/>
          <w:kern w:val="0"/>
          <w:sz w:val="20"/>
        </w:rPr>
        <w:t>各種本部・会議等の活動情報</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Pr>
          <w:rFonts w:cs="ＭＳ 明朝" w:hint="eastAsia"/>
          <w:bCs/>
          <w:snapToGrid w:val="0"/>
          <w:color w:val="000000"/>
          <w:kern w:val="0"/>
          <w:sz w:val="20"/>
        </w:rPr>
        <w:t>こども政策の推進に係る作業部会</w:t>
      </w:r>
    </w:p>
    <w:p w14:paraId="259234D8" w14:textId="3C3F62CB" w:rsidR="00F91B36" w:rsidRDefault="008437BA" w:rsidP="008437BA">
      <w:pPr>
        <w:snapToGrid w:val="0"/>
        <w:spacing w:line="300" w:lineRule="auto"/>
        <w:ind w:firstLineChars="200" w:firstLine="420"/>
        <w:rPr>
          <w:rFonts w:cs="ＭＳ 明朝"/>
          <w:bCs/>
          <w:sz w:val="24"/>
        </w:rPr>
      </w:pPr>
      <w:r w:rsidRPr="008437BA">
        <w:rPr>
          <w:rStyle w:val="a3"/>
        </w:rPr>
        <w:t>https://www.cas.go.jp/jp/seisaku/kodomo_seisaku/index.html</w:t>
      </w:r>
    </w:p>
    <w:tbl>
      <w:tblPr>
        <w:tblStyle w:val="a4"/>
        <w:tblW w:w="10490" w:type="dxa"/>
        <w:tblInd w:w="-572" w:type="dxa"/>
        <w:tblLook w:val="04A0" w:firstRow="1" w:lastRow="0" w:firstColumn="1" w:lastColumn="0" w:noHBand="0" w:noVBand="1"/>
      </w:tblPr>
      <w:tblGrid>
        <w:gridCol w:w="10490"/>
      </w:tblGrid>
      <w:tr w:rsidR="00F91B36" w14:paraId="28A5943C" w14:textId="77777777" w:rsidTr="00F91B36">
        <w:tc>
          <w:tcPr>
            <w:tcW w:w="10490" w:type="dxa"/>
          </w:tcPr>
          <w:p w14:paraId="62BA85A2" w14:textId="5D4854B4" w:rsidR="00F91B36" w:rsidRDefault="00F91B36" w:rsidP="00F91B36">
            <w:pPr>
              <w:snapToGrid w:val="0"/>
              <w:jc w:val="center"/>
              <w:rPr>
                <w:rFonts w:cs="ＭＳ 明朝"/>
                <w:bCs/>
                <w:sz w:val="24"/>
              </w:rPr>
            </w:pPr>
            <w:r>
              <w:rPr>
                <w:rFonts w:cs="ＭＳ 明朝" w:hint="eastAsia"/>
                <w:bCs/>
                <w:noProof/>
                <w:sz w:val="24"/>
              </w:rPr>
              <w:lastRenderedPageBreak/>
              <w:drawing>
                <wp:inline distT="0" distB="0" distL="0" distR="0" wp14:anchorId="3AE672BB" wp14:editId="71BBAB58">
                  <wp:extent cx="6408420" cy="480598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6493AC.tmp"/>
                          <pic:cNvPicPr/>
                        </pic:nvPicPr>
                        <pic:blipFill>
                          <a:blip r:embed="rId8">
                            <a:extLst>
                              <a:ext uri="{28A0092B-C50C-407E-A947-70E740481C1C}">
                                <a14:useLocalDpi xmlns:a14="http://schemas.microsoft.com/office/drawing/2010/main" val="0"/>
                              </a:ext>
                            </a:extLst>
                          </a:blip>
                          <a:stretch>
                            <a:fillRect/>
                          </a:stretch>
                        </pic:blipFill>
                        <pic:spPr>
                          <a:xfrm>
                            <a:off x="0" y="0"/>
                            <a:ext cx="6418721" cy="4813708"/>
                          </a:xfrm>
                          <a:prstGeom prst="rect">
                            <a:avLst/>
                          </a:prstGeom>
                        </pic:spPr>
                      </pic:pic>
                    </a:graphicData>
                  </a:graphic>
                </wp:inline>
              </w:drawing>
            </w:r>
          </w:p>
        </w:tc>
      </w:tr>
      <w:tr w:rsidR="00F91B36" w14:paraId="7F18E05A" w14:textId="77777777" w:rsidTr="00F91B36">
        <w:tc>
          <w:tcPr>
            <w:tcW w:w="10490" w:type="dxa"/>
          </w:tcPr>
          <w:p w14:paraId="64FAA856" w14:textId="5ADBDF6F" w:rsidR="00F91B36" w:rsidRDefault="00F91B36" w:rsidP="00F91B36">
            <w:pPr>
              <w:snapToGrid w:val="0"/>
              <w:jc w:val="center"/>
              <w:rPr>
                <w:rFonts w:cs="ＭＳ 明朝"/>
                <w:bCs/>
                <w:sz w:val="24"/>
              </w:rPr>
            </w:pPr>
            <w:r>
              <w:rPr>
                <w:rFonts w:cs="ＭＳ 明朝" w:hint="eastAsia"/>
                <w:bCs/>
                <w:noProof/>
                <w:sz w:val="24"/>
              </w:rPr>
              <w:drawing>
                <wp:inline distT="0" distB="0" distL="0" distR="0" wp14:anchorId="40178EC0" wp14:editId="081A68D0">
                  <wp:extent cx="6373193" cy="4861560"/>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64F26.tmp"/>
                          <pic:cNvPicPr/>
                        </pic:nvPicPr>
                        <pic:blipFill>
                          <a:blip r:embed="rId9">
                            <a:extLst>
                              <a:ext uri="{28A0092B-C50C-407E-A947-70E740481C1C}">
                                <a14:useLocalDpi xmlns:a14="http://schemas.microsoft.com/office/drawing/2010/main" val="0"/>
                              </a:ext>
                            </a:extLst>
                          </a:blip>
                          <a:stretch>
                            <a:fillRect/>
                          </a:stretch>
                        </pic:blipFill>
                        <pic:spPr>
                          <a:xfrm>
                            <a:off x="0" y="0"/>
                            <a:ext cx="6378113" cy="4865313"/>
                          </a:xfrm>
                          <a:prstGeom prst="rect">
                            <a:avLst/>
                          </a:prstGeom>
                        </pic:spPr>
                      </pic:pic>
                    </a:graphicData>
                  </a:graphic>
                </wp:inline>
              </w:drawing>
            </w:r>
          </w:p>
        </w:tc>
      </w:tr>
    </w:tbl>
    <w:p w14:paraId="5E2A4169" w14:textId="3DF2AD64" w:rsidR="0068757C" w:rsidRPr="00DE0FB3" w:rsidRDefault="0068757C" w:rsidP="00F91B36">
      <w:pPr>
        <w:snapToGrid w:val="0"/>
        <w:spacing w:line="20" w:lineRule="exact"/>
        <w:ind w:firstLineChars="100" w:firstLine="240"/>
        <w:rPr>
          <w:rFonts w:cs="ＭＳ 明朝"/>
          <w:bCs/>
          <w:sz w:val="24"/>
        </w:rPr>
      </w:pPr>
    </w:p>
    <w:sectPr w:rsidR="0068757C" w:rsidRPr="00DE0FB3" w:rsidSect="002A623F">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25C3" w14:textId="77777777" w:rsidR="003A2B48" w:rsidRDefault="003A2B48" w:rsidP="00AC6D2B">
      <w:r>
        <w:separator/>
      </w:r>
    </w:p>
  </w:endnote>
  <w:endnote w:type="continuationSeparator" w:id="0">
    <w:p w14:paraId="4E74FD61" w14:textId="77777777" w:rsidR="003A2B48" w:rsidRDefault="003A2B4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509B062" w:rsidR="002D1434" w:rsidRDefault="002D1434" w:rsidP="003B15AE">
        <w:pPr>
          <w:pStyle w:val="ac"/>
          <w:jc w:val="center"/>
        </w:pPr>
        <w:r>
          <w:fldChar w:fldCharType="begin"/>
        </w:r>
        <w:r>
          <w:instrText>PAGE   \* MERGEFORMAT</w:instrText>
        </w:r>
        <w:r>
          <w:fldChar w:fldCharType="separate"/>
        </w:r>
        <w:r w:rsidR="008852D2" w:rsidRPr="008852D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BF54" w14:textId="77777777" w:rsidR="003A2B48" w:rsidRDefault="003A2B48" w:rsidP="00AC6D2B">
      <w:r>
        <w:separator/>
      </w:r>
    </w:p>
  </w:footnote>
  <w:footnote w:type="continuationSeparator" w:id="0">
    <w:p w14:paraId="31BD0F43" w14:textId="77777777" w:rsidR="003A2B48" w:rsidRDefault="003A2B4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3"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9"/>
  </w:num>
  <w:num w:numId="5">
    <w:abstractNumId w:val="14"/>
  </w:num>
  <w:num w:numId="6">
    <w:abstractNumId w:val="24"/>
  </w:num>
  <w:num w:numId="7">
    <w:abstractNumId w:val="10"/>
  </w:num>
  <w:num w:numId="8">
    <w:abstractNumId w:val="8"/>
  </w:num>
  <w:num w:numId="9">
    <w:abstractNumId w:val="17"/>
  </w:num>
  <w:num w:numId="10">
    <w:abstractNumId w:val="13"/>
  </w:num>
  <w:num w:numId="11">
    <w:abstractNumId w:val="9"/>
  </w:num>
  <w:num w:numId="12">
    <w:abstractNumId w:val="27"/>
  </w:num>
  <w:num w:numId="13">
    <w:abstractNumId w:val="3"/>
  </w:num>
  <w:num w:numId="14">
    <w:abstractNumId w:val="28"/>
  </w:num>
  <w:num w:numId="15">
    <w:abstractNumId w:val="1"/>
  </w:num>
  <w:num w:numId="16">
    <w:abstractNumId w:val="33"/>
  </w:num>
  <w:num w:numId="17">
    <w:abstractNumId w:val="4"/>
  </w:num>
  <w:num w:numId="18">
    <w:abstractNumId w:val="29"/>
  </w:num>
  <w:num w:numId="19">
    <w:abstractNumId w:val="26"/>
  </w:num>
  <w:num w:numId="20">
    <w:abstractNumId w:val="11"/>
  </w:num>
  <w:num w:numId="21">
    <w:abstractNumId w:val="5"/>
  </w:num>
  <w:num w:numId="22">
    <w:abstractNumId w:val="12"/>
  </w:num>
  <w:num w:numId="23">
    <w:abstractNumId w:val="2"/>
  </w:num>
  <w:num w:numId="24">
    <w:abstractNumId w:val="25"/>
  </w:num>
  <w:num w:numId="25">
    <w:abstractNumId w:val="34"/>
  </w:num>
  <w:num w:numId="26">
    <w:abstractNumId w:val="20"/>
  </w:num>
  <w:num w:numId="27">
    <w:abstractNumId w:val="23"/>
  </w:num>
  <w:num w:numId="28">
    <w:abstractNumId w:val="21"/>
  </w:num>
  <w:num w:numId="29">
    <w:abstractNumId w:val="31"/>
  </w:num>
  <w:num w:numId="30">
    <w:abstractNumId w:val="0"/>
  </w:num>
  <w:num w:numId="31">
    <w:abstractNumId w:val="15"/>
  </w:num>
  <w:num w:numId="32">
    <w:abstractNumId w:val="32"/>
  </w:num>
  <w:num w:numId="33">
    <w:abstractNumId w:val="30"/>
  </w:num>
  <w:num w:numId="34">
    <w:abstractNumId w:val="16"/>
  </w:num>
  <w:num w:numId="35">
    <w:abstractNumId w:val="7"/>
  </w:num>
  <w:num w:numId="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874"/>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B48"/>
    <w:rsid w:val="003A2D7C"/>
    <w:rsid w:val="003A2FC0"/>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113A5"/>
    <w:rsid w:val="004115A1"/>
    <w:rsid w:val="00411E95"/>
    <w:rsid w:val="00412BE1"/>
    <w:rsid w:val="0041434E"/>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2D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DD4"/>
    <w:rsid w:val="00997EF3"/>
    <w:rsid w:val="009A0184"/>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6FAE"/>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BDC"/>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D3E"/>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331"/>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B162F-E9B5-4C0E-A75A-63D4E4B5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34</cp:revision>
  <cp:lastPrinted>2021-12-21T10:52:00Z</cp:lastPrinted>
  <dcterms:created xsi:type="dcterms:W3CDTF">2021-11-29T02:30:00Z</dcterms:created>
  <dcterms:modified xsi:type="dcterms:W3CDTF">2021-12-24T02:38:00Z</dcterms:modified>
</cp:coreProperties>
</file>